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AB67D2" w:rsidRDefault="001541D4" w:rsidP="003E6F57">
      <w:pPr>
        <w:spacing w:after="0" w:line="240" w:lineRule="auto"/>
        <w:ind w:right="4"/>
        <w:contextualSpacing/>
        <w:jc w:val="center"/>
        <w:rPr>
          <w:rFonts w:ascii="Cambria" w:eastAsia="Batang" w:hAnsi="Cambria"/>
          <w:b/>
          <w:color w:val="000000" w:themeColor="text1"/>
        </w:rPr>
      </w:pPr>
      <w:r w:rsidRPr="00AB67D2">
        <w:rPr>
          <w:rFonts w:ascii="Cambria" w:eastAsia="Batang" w:hAnsi="Cambria"/>
          <w:b/>
          <w:color w:val="000000" w:themeColor="text1"/>
        </w:rPr>
        <w:t>TECHNICAL INFORMATION SHEET</w:t>
      </w:r>
    </w:p>
    <w:p w14:paraId="315E1AEF" w14:textId="1B41871D" w:rsidR="001541D4" w:rsidRPr="00AB67D2" w:rsidRDefault="001541D4" w:rsidP="003E6F57">
      <w:pPr>
        <w:spacing w:after="0" w:line="240" w:lineRule="auto"/>
        <w:ind w:right="4"/>
        <w:contextualSpacing/>
        <w:jc w:val="center"/>
        <w:rPr>
          <w:rFonts w:ascii="Cambria" w:eastAsia="Batang" w:hAnsi="Cambria"/>
          <w:b/>
          <w:color w:val="000000" w:themeColor="text1"/>
        </w:rPr>
      </w:pPr>
      <w:r w:rsidRPr="00AB67D2">
        <w:rPr>
          <w:rFonts w:ascii="Cambria" w:eastAsia="Batang" w:hAnsi="Cambria"/>
          <w:b/>
          <w:color w:val="000000" w:themeColor="text1"/>
        </w:rPr>
        <w:t xml:space="preserve">CASE </w:t>
      </w:r>
      <w:r w:rsidR="00AB67D2" w:rsidRPr="00AB67D2">
        <w:rPr>
          <w:rFonts w:ascii="Cambria" w:eastAsia="Batang" w:hAnsi="Cambria"/>
          <w:b/>
          <w:color w:val="000000" w:themeColor="text1"/>
        </w:rPr>
        <w:t>13.421 GEMINIANO GIL MARTINEZ AND FAMILY</w:t>
      </w:r>
    </w:p>
    <w:p w14:paraId="023C007F" w14:textId="4FB1FD24" w:rsidR="001541D4" w:rsidRPr="00AB67D2" w:rsidRDefault="001541D4" w:rsidP="003E6F57">
      <w:pPr>
        <w:spacing w:after="0" w:line="240" w:lineRule="auto"/>
        <w:ind w:right="4"/>
        <w:contextualSpacing/>
        <w:jc w:val="center"/>
        <w:rPr>
          <w:rFonts w:ascii="Cambria" w:eastAsia="Batang" w:hAnsi="Cambria"/>
          <w:b/>
          <w:color w:val="000000" w:themeColor="text1"/>
        </w:rPr>
      </w:pPr>
      <w:r w:rsidRPr="00AB67D2">
        <w:rPr>
          <w:rFonts w:ascii="Cambria" w:eastAsia="Batang" w:hAnsi="Cambria"/>
          <w:b/>
          <w:color w:val="000000" w:themeColor="text1"/>
        </w:rPr>
        <w:t>FRIENDLY SETTLEMENT REPORT No.</w:t>
      </w:r>
      <w:r w:rsidR="00D735C2" w:rsidRPr="00AB67D2">
        <w:rPr>
          <w:rFonts w:ascii="Cambria" w:eastAsia="Batang" w:hAnsi="Cambria"/>
          <w:b/>
          <w:color w:val="000000" w:themeColor="text1"/>
        </w:rPr>
        <w:t xml:space="preserve"> </w:t>
      </w:r>
      <w:hyperlink r:id="rId12" w:history="1">
        <w:r w:rsidR="00AB67D2" w:rsidRPr="00AB67D2">
          <w:rPr>
            <w:rStyle w:val="Hyperlink"/>
            <w:rFonts w:ascii="Cambria" w:eastAsia="Batang" w:hAnsi="Cambria"/>
            <w:b/>
          </w:rPr>
          <w:t>333/20</w:t>
        </w:r>
      </w:hyperlink>
      <w:r w:rsidR="00AB67D2" w:rsidRPr="00AB67D2">
        <w:rPr>
          <w:rFonts w:ascii="Cambria" w:eastAsia="Batang" w:hAnsi="Cambria"/>
          <w:b/>
          <w:color w:val="000000" w:themeColor="text1"/>
        </w:rPr>
        <w:t xml:space="preserve"> </w:t>
      </w:r>
    </w:p>
    <w:p w14:paraId="52EBA80E" w14:textId="77777777" w:rsidR="001541D4" w:rsidRPr="00AB67D2" w:rsidRDefault="001541D4" w:rsidP="003E6F57">
      <w:pPr>
        <w:spacing w:after="0" w:line="240" w:lineRule="auto"/>
        <w:ind w:right="4"/>
        <w:contextualSpacing/>
        <w:jc w:val="center"/>
        <w:rPr>
          <w:rFonts w:ascii="Cambria" w:eastAsia="Batang" w:hAnsi="Cambria"/>
          <w:b/>
          <w:color w:val="000000" w:themeColor="text1"/>
        </w:rPr>
      </w:pPr>
      <w:r w:rsidRPr="00AB67D2">
        <w:rPr>
          <w:rFonts w:ascii="Cambria" w:eastAsia="Batang" w:hAnsi="Cambria"/>
          <w:b/>
          <w:color w:val="000000" w:themeColor="text1"/>
        </w:rPr>
        <w:t>TOTAL COMPLIANCE</w:t>
      </w:r>
    </w:p>
    <w:p w14:paraId="359B0977" w14:textId="01CA4840" w:rsidR="001541D4" w:rsidRPr="00AB67D2" w:rsidRDefault="001541D4" w:rsidP="003E6F57">
      <w:pPr>
        <w:spacing w:after="0" w:line="240" w:lineRule="auto"/>
        <w:ind w:right="4"/>
        <w:contextualSpacing/>
        <w:jc w:val="center"/>
        <w:rPr>
          <w:rFonts w:ascii="Cambria" w:eastAsia="Batang" w:hAnsi="Cambria"/>
          <w:b/>
          <w:color w:val="000000" w:themeColor="text1"/>
        </w:rPr>
      </w:pPr>
      <w:r w:rsidRPr="00AB67D2">
        <w:rPr>
          <w:rFonts w:ascii="Cambria" w:eastAsia="Batang" w:hAnsi="Cambria"/>
          <w:b/>
          <w:color w:val="000000" w:themeColor="text1"/>
        </w:rPr>
        <w:t>(</w:t>
      </w:r>
      <w:r w:rsidR="006F75AC" w:rsidRPr="00AB67D2">
        <w:rPr>
          <w:rFonts w:ascii="Cambria" w:eastAsia="Batang" w:hAnsi="Cambria"/>
          <w:b/>
          <w:color w:val="000000" w:themeColor="text1"/>
        </w:rPr>
        <w:t>C</w:t>
      </w:r>
      <w:r w:rsidR="00AB67D2" w:rsidRPr="00AB67D2">
        <w:rPr>
          <w:rFonts w:ascii="Cambria" w:eastAsia="Batang" w:hAnsi="Cambria"/>
          <w:b/>
          <w:color w:val="000000" w:themeColor="text1"/>
        </w:rPr>
        <w:t>OLOMBIA</w:t>
      </w:r>
      <w:r w:rsidRPr="00AB67D2">
        <w:rPr>
          <w:rFonts w:ascii="Cambria" w:eastAsia="Batang" w:hAnsi="Cambria"/>
          <w:b/>
          <w:color w:val="000000" w:themeColor="text1"/>
        </w:rPr>
        <w:t>)</w:t>
      </w:r>
    </w:p>
    <w:p w14:paraId="17C6E5B0" w14:textId="77777777" w:rsidR="001541D4" w:rsidRPr="00AB67D2" w:rsidRDefault="001541D4" w:rsidP="001541D4">
      <w:pPr>
        <w:spacing w:after="0" w:line="240" w:lineRule="auto"/>
        <w:ind w:right="-270"/>
        <w:jc w:val="center"/>
        <w:rPr>
          <w:rFonts w:ascii="Cambria" w:eastAsia="Batang" w:hAnsi="Cambria"/>
          <w:b/>
          <w:color w:val="000000"/>
        </w:rPr>
      </w:pPr>
    </w:p>
    <w:p w14:paraId="4466410B" w14:textId="77777777" w:rsidR="001541D4" w:rsidRPr="00AB67D2" w:rsidRDefault="001541D4" w:rsidP="00637AFB">
      <w:pPr>
        <w:numPr>
          <w:ilvl w:val="0"/>
          <w:numId w:val="37"/>
        </w:numPr>
        <w:spacing w:after="0" w:line="240" w:lineRule="auto"/>
        <w:ind w:left="0" w:firstLine="709"/>
        <w:rPr>
          <w:rFonts w:ascii="Cambria" w:eastAsia="Batang" w:hAnsi="Cambria" w:cs="Calibri Light"/>
          <w:b/>
          <w:color w:val="000000"/>
        </w:rPr>
      </w:pPr>
      <w:r w:rsidRPr="00AB67D2">
        <w:rPr>
          <w:rFonts w:ascii="Cambria" w:eastAsia="Batang" w:hAnsi="Cambria" w:cs="Calibri Light"/>
          <w:b/>
          <w:color w:val="000000"/>
        </w:rPr>
        <w:t>SUMMARY OF THE CASE</w:t>
      </w:r>
    </w:p>
    <w:p w14:paraId="21DA0E00" w14:textId="77777777" w:rsidR="001541D4" w:rsidRPr="00AB67D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7E0A5B" w14:paraId="58669F97" w14:textId="77777777" w:rsidTr="00AB67D2">
        <w:trPr>
          <w:trHeight w:val="620"/>
          <w:jc w:val="center"/>
        </w:trPr>
        <w:tc>
          <w:tcPr>
            <w:tcW w:w="9350" w:type="dxa"/>
            <w:shd w:val="clear" w:color="auto" w:fill="F2F2F2"/>
          </w:tcPr>
          <w:p w14:paraId="4557E905" w14:textId="6CFD6434" w:rsidR="001541D4" w:rsidRPr="00C50106" w:rsidRDefault="001541D4" w:rsidP="00F024F0">
            <w:pPr>
              <w:tabs>
                <w:tab w:val="left" w:pos="9270"/>
              </w:tabs>
              <w:spacing w:after="0" w:line="240" w:lineRule="auto"/>
              <w:jc w:val="both"/>
              <w:rPr>
                <w:rFonts w:ascii="Cambria" w:eastAsia="Batang" w:hAnsi="Cambria"/>
                <w:b/>
                <w:color w:val="000000"/>
                <w:sz w:val="20"/>
                <w:szCs w:val="20"/>
              </w:rPr>
            </w:pPr>
            <w:r w:rsidRPr="00C50106">
              <w:rPr>
                <w:rFonts w:ascii="Cambria" w:eastAsia="Batang" w:hAnsi="Cambria"/>
                <w:b/>
                <w:color w:val="000000"/>
                <w:sz w:val="20"/>
                <w:szCs w:val="20"/>
              </w:rPr>
              <w:t xml:space="preserve">Victim (s): </w:t>
            </w:r>
            <w:r w:rsidR="00AB67D2" w:rsidRPr="00C50106">
              <w:rPr>
                <w:rFonts w:ascii="Cambria" w:eastAsia="Batang" w:hAnsi="Cambria"/>
                <w:bCs/>
                <w:color w:val="000000"/>
                <w:sz w:val="20"/>
                <w:szCs w:val="20"/>
              </w:rPr>
              <w:t>Geminiano Gil Martinez and Family</w:t>
            </w:r>
          </w:p>
          <w:p w14:paraId="5893488B" w14:textId="6D81D20D" w:rsidR="001541D4" w:rsidRPr="00C50106" w:rsidRDefault="001541D4" w:rsidP="00F024F0">
            <w:pPr>
              <w:tabs>
                <w:tab w:val="left" w:pos="9270"/>
              </w:tabs>
              <w:spacing w:after="0" w:line="240" w:lineRule="auto"/>
              <w:jc w:val="both"/>
              <w:rPr>
                <w:rFonts w:ascii="Cambria" w:eastAsia="Batang" w:hAnsi="Cambria"/>
                <w:b/>
                <w:color w:val="000000"/>
                <w:sz w:val="20"/>
                <w:szCs w:val="20"/>
              </w:rPr>
            </w:pPr>
            <w:r w:rsidRPr="00C50106">
              <w:rPr>
                <w:rFonts w:ascii="Cambria" w:eastAsia="Batang" w:hAnsi="Cambria"/>
                <w:b/>
                <w:color w:val="000000"/>
                <w:sz w:val="20"/>
                <w:szCs w:val="20"/>
              </w:rPr>
              <w:t xml:space="preserve">Petitioner (s): </w:t>
            </w:r>
            <w:r w:rsidR="00AB67D2" w:rsidRPr="00C50106">
              <w:rPr>
                <w:rFonts w:ascii="Cambria" w:eastAsia="Batang" w:hAnsi="Cambria"/>
                <w:bCs/>
                <w:color w:val="000000"/>
                <w:sz w:val="20"/>
                <w:szCs w:val="20"/>
              </w:rPr>
              <w:t>Jesús Arcángel Alonso Guzmán and Rigoberto Olivella Arzuaga</w:t>
            </w:r>
          </w:p>
          <w:p w14:paraId="2552F3A2" w14:textId="3A41AA2F" w:rsidR="001541D4" w:rsidRPr="00C50106" w:rsidRDefault="001541D4" w:rsidP="00F024F0">
            <w:pPr>
              <w:tabs>
                <w:tab w:val="left" w:pos="9270"/>
              </w:tabs>
              <w:spacing w:after="0" w:line="240" w:lineRule="auto"/>
              <w:jc w:val="both"/>
              <w:rPr>
                <w:rFonts w:ascii="Cambria" w:eastAsia="Batang" w:hAnsi="Cambria"/>
                <w:b/>
                <w:color w:val="000000"/>
                <w:sz w:val="20"/>
                <w:szCs w:val="20"/>
              </w:rPr>
            </w:pPr>
            <w:r w:rsidRPr="00C50106">
              <w:rPr>
                <w:rFonts w:ascii="Cambria" w:eastAsia="Batang" w:hAnsi="Cambria"/>
                <w:b/>
                <w:color w:val="000000"/>
                <w:sz w:val="20"/>
                <w:szCs w:val="20"/>
              </w:rPr>
              <w:t xml:space="preserve">State: </w:t>
            </w:r>
            <w:r w:rsidR="00AB67D2" w:rsidRPr="00C50106">
              <w:rPr>
                <w:rFonts w:ascii="Cambria" w:eastAsia="Batang" w:hAnsi="Cambria"/>
                <w:bCs/>
                <w:color w:val="000000"/>
                <w:sz w:val="20"/>
                <w:szCs w:val="20"/>
              </w:rPr>
              <w:t>Colombia</w:t>
            </w:r>
          </w:p>
          <w:p w14:paraId="7A596058" w14:textId="11438EC0" w:rsidR="001541D4" w:rsidRPr="00C50106" w:rsidRDefault="001541D4" w:rsidP="00F024F0">
            <w:pPr>
              <w:tabs>
                <w:tab w:val="left" w:pos="9270"/>
              </w:tabs>
              <w:spacing w:after="0" w:line="240" w:lineRule="auto"/>
              <w:jc w:val="both"/>
              <w:rPr>
                <w:rFonts w:ascii="Cambria" w:eastAsia="Batang" w:hAnsi="Cambria"/>
                <w:color w:val="000000"/>
                <w:sz w:val="20"/>
                <w:szCs w:val="20"/>
              </w:rPr>
            </w:pPr>
            <w:r w:rsidRPr="00C50106">
              <w:rPr>
                <w:rFonts w:ascii="Cambria" w:eastAsia="Batang" w:hAnsi="Cambria"/>
                <w:b/>
                <w:bCs/>
                <w:color w:val="000000"/>
                <w:sz w:val="20"/>
                <w:szCs w:val="20"/>
              </w:rPr>
              <w:t>Start date of negotiations</w:t>
            </w:r>
            <w:r w:rsidRPr="00C50106">
              <w:rPr>
                <w:rFonts w:ascii="Cambria" w:eastAsia="Batang" w:hAnsi="Cambria"/>
                <w:color w:val="000000"/>
                <w:sz w:val="20"/>
                <w:szCs w:val="20"/>
              </w:rPr>
              <w:t xml:space="preserve">: </w:t>
            </w:r>
            <w:r w:rsidR="00AB67D2" w:rsidRPr="00C50106">
              <w:rPr>
                <w:rFonts w:ascii="Cambria" w:eastAsia="Batang" w:hAnsi="Cambria"/>
                <w:color w:val="000000"/>
                <w:sz w:val="20"/>
                <w:szCs w:val="20"/>
              </w:rPr>
              <w:t>August 2, 2019.</w:t>
            </w:r>
          </w:p>
          <w:p w14:paraId="51D20FA5" w14:textId="6DE5B89E" w:rsidR="001541D4" w:rsidRPr="00C50106" w:rsidRDefault="001541D4" w:rsidP="00F024F0">
            <w:pPr>
              <w:tabs>
                <w:tab w:val="left" w:pos="9270"/>
              </w:tabs>
              <w:spacing w:after="0" w:line="240" w:lineRule="auto"/>
              <w:jc w:val="both"/>
              <w:rPr>
                <w:rFonts w:ascii="Cambria" w:eastAsia="Batang" w:hAnsi="Cambria"/>
                <w:b/>
                <w:bCs/>
                <w:color w:val="000000"/>
                <w:sz w:val="20"/>
                <w:szCs w:val="20"/>
              </w:rPr>
            </w:pPr>
            <w:r w:rsidRPr="00C50106">
              <w:rPr>
                <w:rFonts w:ascii="Cambria" w:eastAsia="Batang" w:hAnsi="Cambria"/>
                <w:b/>
                <w:bCs/>
                <w:color w:val="000000"/>
                <w:sz w:val="20"/>
                <w:szCs w:val="20"/>
              </w:rPr>
              <w:t xml:space="preserve">Date of signing of FSA: </w:t>
            </w:r>
            <w:r w:rsidR="00AB67D2" w:rsidRPr="00C50106">
              <w:rPr>
                <w:rFonts w:ascii="Cambria" w:eastAsia="Batang" w:hAnsi="Cambria"/>
                <w:color w:val="000000"/>
                <w:sz w:val="20"/>
                <w:szCs w:val="20"/>
              </w:rPr>
              <w:t>December 4, 2019</w:t>
            </w:r>
          </w:p>
          <w:p w14:paraId="69D44B9D" w14:textId="0BA2B8E2" w:rsidR="00D23C64" w:rsidRPr="00C50106" w:rsidRDefault="00D23C64" w:rsidP="00F024F0">
            <w:pPr>
              <w:tabs>
                <w:tab w:val="left" w:pos="9270"/>
              </w:tabs>
              <w:spacing w:after="0" w:line="240" w:lineRule="auto"/>
              <w:jc w:val="both"/>
              <w:rPr>
                <w:rFonts w:ascii="Cambria" w:eastAsia="Batang" w:hAnsi="Cambria"/>
                <w:bCs/>
                <w:color w:val="000000"/>
                <w:sz w:val="20"/>
                <w:szCs w:val="20"/>
              </w:rPr>
            </w:pPr>
            <w:r w:rsidRPr="00C50106">
              <w:rPr>
                <w:rFonts w:ascii="Cambria" w:eastAsia="Batang" w:hAnsi="Cambria"/>
                <w:b/>
                <w:bCs/>
                <w:color w:val="000000"/>
                <w:sz w:val="20"/>
                <w:szCs w:val="20"/>
              </w:rPr>
              <w:t>Admissibility Report</w:t>
            </w:r>
            <w:r w:rsidRPr="00C50106">
              <w:rPr>
                <w:rFonts w:ascii="Cambria" w:eastAsia="Batang" w:hAnsi="Cambria"/>
                <w:color w:val="000000"/>
                <w:sz w:val="20"/>
                <w:szCs w:val="20"/>
              </w:rPr>
              <w:t xml:space="preserve"> </w:t>
            </w:r>
            <w:r w:rsidRPr="00C50106">
              <w:rPr>
                <w:rFonts w:ascii="Cambria" w:eastAsia="Batang" w:hAnsi="Cambria"/>
                <w:b/>
                <w:color w:val="080808"/>
                <w:sz w:val="20"/>
                <w:szCs w:val="20"/>
              </w:rPr>
              <w:t>N</w:t>
            </w:r>
            <w:r w:rsidRPr="00C50106">
              <w:rPr>
                <w:rFonts w:ascii="Cambria" w:eastAsia="Batang" w:hAnsi="Cambria"/>
                <w:b/>
                <w:sz w:val="20"/>
                <w:szCs w:val="20"/>
              </w:rPr>
              <w:t>º:</w:t>
            </w:r>
            <w:r w:rsidR="0047567D" w:rsidRPr="00C50106">
              <w:rPr>
                <w:rFonts w:ascii="Cambria" w:eastAsia="Batang" w:hAnsi="Cambria"/>
                <w:b/>
                <w:sz w:val="20"/>
                <w:szCs w:val="20"/>
              </w:rPr>
              <w:t xml:space="preserve"> </w:t>
            </w:r>
            <w:hyperlink r:id="rId13" w:history="1">
              <w:r w:rsidR="00AB67D2" w:rsidRPr="00C50106">
                <w:rPr>
                  <w:rStyle w:val="Hyperlink"/>
                  <w:rFonts w:ascii="Cambria" w:eastAsia="Batang" w:hAnsi="Cambria"/>
                  <w:b/>
                  <w:sz w:val="20"/>
                  <w:szCs w:val="20"/>
                </w:rPr>
                <w:t>141/17</w:t>
              </w:r>
            </w:hyperlink>
            <w:r w:rsidR="00AB67D2" w:rsidRPr="00C50106">
              <w:rPr>
                <w:rFonts w:ascii="Cambria" w:eastAsia="Batang" w:hAnsi="Cambria"/>
                <w:b/>
                <w:sz w:val="20"/>
                <w:szCs w:val="20"/>
              </w:rPr>
              <w:t xml:space="preserve">, </w:t>
            </w:r>
            <w:r w:rsidR="00AB67D2" w:rsidRPr="00C50106">
              <w:rPr>
                <w:rFonts w:ascii="Cambria" w:eastAsia="Batang" w:hAnsi="Cambria"/>
                <w:bCs/>
                <w:sz w:val="20"/>
                <w:szCs w:val="20"/>
              </w:rPr>
              <w:t>published on October 26, 2017</w:t>
            </w:r>
            <w:r w:rsidR="00AB67D2" w:rsidRPr="00C50106">
              <w:rPr>
                <w:rFonts w:ascii="Cambria" w:eastAsia="Batang" w:hAnsi="Cambria"/>
                <w:b/>
                <w:sz w:val="20"/>
                <w:szCs w:val="20"/>
              </w:rPr>
              <w:t xml:space="preserve"> </w:t>
            </w:r>
          </w:p>
          <w:p w14:paraId="02AF1A91" w14:textId="272FF421" w:rsidR="001541D4" w:rsidRPr="00C50106" w:rsidRDefault="001541D4" w:rsidP="00F024F0">
            <w:pPr>
              <w:tabs>
                <w:tab w:val="left" w:pos="9270"/>
              </w:tabs>
              <w:spacing w:after="0" w:line="240" w:lineRule="auto"/>
              <w:jc w:val="both"/>
              <w:rPr>
                <w:rFonts w:ascii="Cambria" w:eastAsia="Batang" w:hAnsi="Cambria"/>
                <w:b/>
                <w:color w:val="000000"/>
                <w:sz w:val="20"/>
                <w:szCs w:val="20"/>
              </w:rPr>
            </w:pPr>
            <w:r w:rsidRPr="00C50106">
              <w:rPr>
                <w:rFonts w:ascii="Cambria" w:eastAsia="Batang" w:hAnsi="Cambria"/>
                <w:b/>
                <w:color w:val="000000"/>
                <w:sz w:val="20"/>
                <w:szCs w:val="20"/>
              </w:rPr>
              <w:t xml:space="preserve">Report on Friendly Settlement Agreement Nº: </w:t>
            </w:r>
            <w:hyperlink r:id="rId14" w:history="1">
              <w:r w:rsidR="00AB67D2" w:rsidRPr="00C50106">
                <w:rPr>
                  <w:rStyle w:val="Hyperlink"/>
                  <w:rFonts w:ascii="Cambria" w:eastAsia="Batang" w:hAnsi="Cambria"/>
                  <w:b/>
                  <w:sz w:val="20"/>
                  <w:szCs w:val="20"/>
                </w:rPr>
                <w:t>333/20</w:t>
              </w:r>
            </w:hyperlink>
            <w:r w:rsidR="00AB67D2" w:rsidRPr="00C50106">
              <w:rPr>
                <w:rFonts w:ascii="Cambria" w:eastAsia="Batang" w:hAnsi="Cambria"/>
                <w:bCs/>
                <w:color w:val="000000"/>
                <w:sz w:val="20"/>
                <w:szCs w:val="20"/>
              </w:rPr>
              <w:t>, published on November 19, 2020</w:t>
            </w:r>
          </w:p>
          <w:p w14:paraId="129AD630" w14:textId="416B6CBD" w:rsidR="001541D4" w:rsidRPr="00C50106" w:rsidRDefault="001541D4" w:rsidP="00F024F0">
            <w:pPr>
              <w:tabs>
                <w:tab w:val="left" w:pos="9270"/>
              </w:tabs>
              <w:spacing w:after="0" w:line="240" w:lineRule="auto"/>
              <w:jc w:val="both"/>
              <w:rPr>
                <w:rFonts w:ascii="Cambria" w:eastAsia="Batang" w:hAnsi="Cambria"/>
                <w:b/>
                <w:bCs/>
                <w:color w:val="000000"/>
                <w:sz w:val="20"/>
                <w:szCs w:val="20"/>
              </w:rPr>
            </w:pPr>
            <w:r w:rsidRPr="00C50106">
              <w:rPr>
                <w:rFonts w:ascii="Cambria" w:eastAsia="Batang" w:hAnsi="Cambria"/>
                <w:b/>
                <w:bCs/>
                <w:color w:val="000000"/>
                <w:sz w:val="20"/>
                <w:szCs w:val="20"/>
              </w:rPr>
              <w:t xml:space="preserve">Estimated length of negotiation phase: </w:t>
            </w:r>
            <w:r w:rsidR="00AB67D2" w:rsidRPr="00C50106">
              <w:rPr>
                <w:rFonts w:ascii="Cambria" w:eastAsia="Batang" w:hAnsi="Cambria"/>
                <w:color w:val="000000"/>
                <w:sz w:val="20"/>
                <w:szCs w:val="20"/>
              </w:rPr>
              <w:t>1 year and 3 months</w:t>
            </w:r>
          </w:p>
          <w:p w14:paraId="5917BB0B" w14:textId="0CD1780B" w:rsidR="001541D4" w:rsidRPr="00C50106" w:rsidRDefault="001541D4" w:rsidP="00F024F0">
            <w:pPr>
              <w:tabs>
                <w:tab w:val="left" w:pos="9270"/>
              </w:tabs>
              <w:spacing w:after="0" w:line="240" w:lineRule="auto"/>
              <w:jc w:val="both"/>
              <w:rPr>
                <w:rFonts w:ascii="Cambria" w:eastAsia="Batang" w:hAnsi="Cambria"/>
                <w:b/>
                <w:color w:val="000000"/>
                <w:sz w:val="20"/>
                <w:szCs w:val="20"/>
              </w:rPr>
            </w:pPr>
            <w:r w:rsidRPr="00C50106">
              <w:rPr>
                <w:rFonts w:ascii="Cambria" w:eastAsia="Batang" w:hAnsi="Cambria"/>
                <w:b/>
                <w:color w:val="000000"/>
                <w:sz w:val="20"/>
                <w:szCs w:val="20"/>
              </w:rPr>
              <w:t>Associated Rapporteurship:</w:t>
            </w:r>
            <w:r w:rsidRPr="00C50106">
              <w:rPr>
                <w:rFonts w:ascii="Cambria" w:eastAsia="Batang" w:hAnsi="Cambria"/>
                <w:b/>
                <w:bCs/>
                <w:color w:val="000000"/>
                <w:sz w:val="20"/>
                <w:szCs w:val="20"/>
              </w:rPr>
              <w:t xml:space="preserve"> </w:t>
            </w:r>
            <w:r w:rsidR="00AB67D2" w:rsidRPr="00C50106">
              <w:rPr>
                <w:rFonts w:ascii="Cambria" w:eastAsia="Batang" w:hAnsi="Cambria"/>
                <w:color w:val="000000"/>
                <w:sz w:val="20"/>
                <w:szCs w:val="20"/>
              </w:rPr>
              <w:t>Rapporteurship on the Rights of Persons Deprived of Liberty</w:t>
            </w:r>
          </w:p>
          <w:p w14:paraId="7E6F6A09" w14:textId="6596E1A7" w:rsidR="001541D4" w:rsidRPr="00C50106" w:rsidRDefault="001541D4" w:rsidP="00F024F0">
            <w:pPr>
              <w:tabs>
                <w:tab w:val="left" w:pos="9270"/>
              </w:tabs>
              <w:spacing w:after="0" w:line="240" w:lineRule="auto"/>
              <w:jc w:val="both"/>
              <w:rPr>
                <w:rFonts w:ascii="Cambria" w:eastAsia="Batang" w:hAnsi="Cambria"/>
                <w:b/>
                <w:bCs/>
                <w:color w:val="000000"/>
                <w:sz w:val="20"/>
                <w:szCs w:val="20"/>
              </w:rPr>
            </w:pPr>
            <w:r w:rsidRPr="00C50106">
              <w:rPr>
                <w:rFonts w:ascii="Cambria" w:eastAsia="Batang" w:hAnsi="Cambria"/>
                <w:b/>
                <w:color w:val="000000"/>
                <w:sz w:val="20"/>
                <w:szCs w:val="20"/>
              </w:rPr>
              <w:t xml:space="preserve">Topics: </w:t>
            </w:r>
            <w:r w:rsidR="00AB67D2" w:rsidRPr="00C50106">
              <w:rPr>
                <w:rFonts w:ascii="Cambria" w:eastAsia="Batang" w:hAnsi="Cambria"/>
                <w:bCs/>
                <w:color w:val="000000"/>
                <w:sz w:val="20"/>
                <w:szCs w:val="20"/>
              </w:rPr>
              <w:t>Right to life/ Arbitrary arrest/ Judicial guarantees/ Military jurisdiction/ Investigation and due diligence/ Judicial protection/ Security and violence/ Terrorism and human rights/ Excessive use of force/ Police violence</w:t>
            </w:r>
          </w:p>
          <w:p w14:paraId="1343E1B2" w14:textId="77777777" w:rsidR="001541D4" w:rsidRPr="00C50106" w:rsidRDefault="001541D4" w:rsidP="00F024F0">
            <w:pPr>
              <w:tabs>
                <w:tab w:val="left" w:pos="9270"/>
              </w:tabs>
              <w:spacing w:after="0" w:line="240" w:lineRule="auto"/>
              <w:jc w:val="both"/>
              <w:rPr>
                <w:rFonts w:ascii="Cambria" w:eastAsia="Batang" w:hAnsi="Cambria"/>
                <w:b/>
                <w:bCs/>
                <w:color w:val="000000"/>
                <w:sz w:val="20"/>
                <w:szCs w:val="20"/>
              </w:rPr>
            </w:pPr>
          </w:p>
          <w:p w14:paraId="2E36180C" w14:textId="627274E9" w:rsidR="001541D4" w:rsidRPr="00C50106" w:rsidRDefault="001541D4" w:rsidP="00F024F0">
            <w:pPr>
              <w:tabs>
                <w:tab w:val="left" w:pos="9270"/>
              </w:tabs>
              <w:spacing w:after="0" w:line="240" w:lineRule="auto"/>
              <w:jc w:val="both"/>
              <w:rPr>
                <w:rFonts w:ascii="Cambria" w:eastAsia="Batang" w:hAnsi="Cambria"/>
                <w:bCs/>
                <w:color w:val="000000"/>
                <w:sz w:val="20"/>
                <w:szCs w:val="20"/>
              </w:rPr>
            </w:pPr>
            <w:r w:rsidRPr="00C50106">
              <w:rPr>
                <w:rFonts w:ascii="Cambria" w:eastAsia="Batang" w:hAnsi="Cambria"/>
                <w:b/>
                <w:color w:val="000000"/>
                <w:sz w:val="20"/>
                <w:szCs w:val="20"/>
              </w:rPr>
              <w:t>Facts:</w:t>
            </w:r>
            <w:r w:rsidR="00AB67D2" w:rsidRPr="007E0A5B">
              <w:rPr>
                <w:rFonts w:ascii="Cambria" w:eastAsiaTheme="minorHAnsi" w:hAnsi="Cambria" w:cstheme="minorBidi"/>
                <w:color w:val="000000"/>
                <w:sz w:val="20"/>
                <w:szCs w:val="20"/>
              </w:rPr>
              <w:t xml:space="preserve"> </w:t>
            </w:r>
            <w:r w:rsidR="00AB67D2" w:rsidRPr="00C50106">
              <w:rPr>
                <w:rFonts w:ascii="Cambria" w:eastAsia="Batang" w:hAnsi="Cambria"/>
                <w:bCs/>
                <w:color w:val="000000"/>
                <w:sz w:val="20"/>
                <w:szCs w:val="20"/>
              </w:rPr>
              <w:t>On December 21, 2007, the IACHR received a petition in which the petitioning party alleged that, on December 6, 1989, Mr. Geminiano Gil Martínez was abducted when he was traveling for work reasons from Granada, in the Department of Antioquia, to a camp located in the district (Corregimiento) of Santa Ana. The petitioner stated that on the morning of December 8, 1989, the victim's wife received a phone call from an unidentified person telling her that her husband and another man had been kidnapped. Later, that afternoon, the authorities of the municipality of Guatapé found the victim's body next to the corpse of another person and reported that he had died from a bullet wound to the head and had possibly been shot by members of illegal armed groups. The petitioner also pointed out that, on December 10, 1989, a press release published in the national circulation daily newspaper “El Espectador” stated that the abduction had been carried out by members of the National Liberation Army. The petitioning party reported that later an investigation was initiated before the Preliminary Criminal Investigation Court of Mixed Jurisdiction (</w:t>
            </w:r>
            <w:r w:rsidR="00AB67D2" w:rsidRPr="00C50106">
              <w:rPr>
                <w:rFonts w:ascii="Cambria" w:eastAsia="Batang" w:hAnsi="Cambria"/>
                <w:bCs/>
                <w:i/>
                <w:color w:val="000000"/>
                <w:sz w:val="20"/>
                <w:szCs w:val="20"/>
              </w:rPr>
              <w:t>Juzgado Promiscuo</w:t>
            </w:r>
            <w:r w:rsidR="00AB67D2" w:rsidRPr="00C50106">
              <w:rPr>
                <w:rFonts w:ascii="Cambria" w:eastAsia="Batang" w:hAnsi="Cambria"/>
                <w:bCs/>
                <w:color w:val="000000"/>
                <w:sz w:val="20"/>
                <w:szCs w:val="20"/>
              </w:rPr>
              <w:t>) in Guatapé and that, on February 5, 2007 a petition was filed with the Office of  the Attorney General (FGN) and the Municipal Public Prosecutor' Office (</w:t>
            </w:r>
            <w:r w:rsidR="00AB67D2" w:rsidRPr="00C50106">
              <w:rPr>
                <w:rFonts w:ascii="Cambria" w:eastAsia="Batang" w:hAnsi="Cambria"/>
                <w:bCs/>
                <w:i/>
                <w:color w:val="000000"/>
                <w:sz w:val="20"/>
                <w:szCs w:val="20"/>
              </w:rPr>
              <w:t>Fiscalía Seccional</w:t>
            </w:r>
            <w:r w:rsidR="00AB67D2" w:rsidRPr="00C50106">
              <w:rPr>
                <w:rFonts w:ascii="Cambria" w:eastAsia="Batang" w:hAnsi="Cambria"/>
                <w:bCs/>
                <w:color w:val="000000"/>
                <w:sz w:val="20"/>
                <w:szCs w:val="20"/>
              </w:rPr>
              <w:t>) in Antioquia , requesting information regarding the investigation that had begun in December 1989 into the alleged abduction and murder of Geminiano Gil Martínez. The petitioning party stressed that the Prosecutor's Office reported that there was no record of the events and that, according to the Municipal Criminal Court in Guatapé the files on proceedings had been sent, on March 28, 1990 to the 61st Preliminary Criminal Investigation Court of the Municipality of San Rafael, which had no record of the case. The petitioning party further reported that it had filed a direct reparation suit against the Judiciary and the FGN, which had been admitted in a decision, handed down on April 14, 2009, and was still awaiting a final judicial ruling as of the day the petition was presented.</w:t>
            </w:r>
          </w:p>
          <w:p w14:paraId="6C45488B" w14:textId="77777777" w:rsidR="001541D4" w:rsidRPr="00C50106" w:rsidRDefault="001541D4" w:rsidP="00F024F0">
            <w:pPr>
              <w:tabs>
                <w:tab w:val="left" w:pos="9270"/>
              </w:tabs>
              <w:spacing w:after="0" w:line="240" w:lineRule="auto"/>
              <w:jc w:val="both"/>
              <w:rPr>
                <w:rFonts w:ascii="Cambria" w:eastAsia="Batang" w:hAnsi="Cambria"/>
                <w:b/>
                <w:color w:val="000000"/>
                <w:sz w:val="20"/>
                <w:szCs w:val="20"/>
              </w:rPr>
            </w:pPr>
          </w:p>
          <w:p w14:paraId="38FCE193" w14:textId="6F54C4E8" w:rsidR="006F75AC" w:rsidRPr="00C50106" w:rsidRDefault="001541D4" w:rsidP="00AB67D2">
            <w:pPr>
              <w:tabs>
                <w:tab w:val="left" w:pos="9270"/>
              </w:tabs>
              <w:spacing w:after="0" w:line="240" w:lineRule="auto"/>
              <w:jc w:val="both"/>
              <w:rPr>
                <w:rFonts w:ascii="Cambria" w:eastAsia="Batang" w:hAnsi="Cambria"/>
                <w:bCs/>
                <w:color w:val="000000"/>
                <w:sz w:val="20"/>
                <w:szCs w:val="20"/>
              </w:rPr>
            </w:pPr>
            <w:r w:rsidRPr="00C50106">
              <w:rPr>
                <w:rFonts w:ascii="Cambria" w:eastAsia="Batang" w:hAnsi="Cambria"/>
                <w:b/>
                <w:color w:val="000000"/>
                <w:sz w:val="20"/>
                <w:szCs w:val="20"/>
              </w:rPr>
              <w:t xml:space="preserve">Rights declared admissible: </w:t>
            </w:r>
            <w:r w:rsidR="00AB67D2" w:rsidRPr="00C50106">
              <w:rPr>
                <w:rFonts w:ascii="Cambria" w:eastAsia="Batang" w:hAnsi="Cambria"/>
                <w:bCs/>
                <w:color w:val="000000"/>
                <w:sz w:val="20"/>
                <w:szCs w:val="20"/>
              </w:rPr>
              <w:t>The IACHR declared the petition admissible in respect of the alleged violation of Articles 4 (right to life), 5 (right to humane treatment/personal integrity), 7 (right to personal liberty), 8 (judicial guarantees), and 25 (right to judicial protection) of the American Convention in conjunction with Article 1.1  (obligation to respect rights) of the same instrument, to the detriment of Geminiano Gil Martínez and his family.</w:t>
            </w:r>
          </w:p>
        </w:tc>
      </w:tr>
    </w:tbl>
    <w:p w14:paraId="74053FDD" w14:textId="77777777" w:rsidR="001541D4" w:rsidRDefault="001541D4" w:rsidP="001541D4">
      <w:pPr>
        <w:spacing w:after="0" w:line="240" w:lineRule="auto"/>
        <w:ind w:left="720"/>
        <w:contextualSpacing/>
        <w:jc w:val="both"/>
        <w:rPr>
          <w:rFonts w:ascii="Cambria" w:eastAsia="Batang" w:hAnsi="Cambria" w:cs="Calibri Light"/>
          <w:b/>
          <w:color w:val="000000"/>
        </w:rPr>
      </w:pPr>
    </w:p>
    <w:p w14:paraId="62D4969E" w14:textId="77777777" w:rsidR="00AE4A64" w:rsidRDefault="00AE4A64" w:rsidP="001541D4">
      <w:pPr>
        <w:spacing w:after="0" w:line="240" w:lineRule="auto"/>
        <w:ind w:left="720"/>
        <w:contextualSpacing/>
        <w:jc w:val="both"/>
        <w:rPr>
          <w:rFonts w:ascii="Cambria" w:eastAsia="Batang" w:hAnsi="Cambria" w:cs="Calibri Light"/>
          <w:b/>
          <w:color w:val="000000"/>
        </w:rPr>
      </w:pPr>
    </w:p>
    <w:p w14:paraId="0EEAF7F2" w14:textId="77777777" w:rsidR="00AE4A64" w:rsidRPr="007175E2" w:rsidRDefault="00AE4A6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lastRenderedPageBreak/>
        <w:t>PROCEDURAL ACTIVITY</w:t>
      </w:r>
    </w:p>
    <w:p w14:paraId="622D1A9C" w14:textId="77777777" w:rsidR="001541D4" w:rsidRPr="007175E2" w:rsidRDefault="001541D4" w:rsidP="00AB67D2">
      <w:pPr>
        <w:spacing w:after="0" w:line="240" w:lineRule="auto"/>
        <w:ind w:firstLine="709"/>
        <w:jc w:val="both"/>
        <w:rPr>
          <w:rFonts w:ascii="Cambria" w:eastAsia="Batang" w:hAnsi="Cambria" w:cs="Calibri Light"/>
          <w:color w:val="000000"/>
        </w:rPr>
      </w:pPr>
    </w:p>
    <w:p w14:paraId="0EAB22CB" w14:textId="16EDE78B" w:rsidR="007E0A5B" w:rsidRDefault="007E0A5B" w:rsidP="00AB67D2">
      <w:pPr>
        <w:pStyle w:val="ListParagraph"/>
        <w:numPr>
          <w:ilvl w:val="0"/>
          <w:numId w:val="4"/>
        </w:numPr>
        <w:spacing w:after="0" w:line="240" w:lineRule="auto"/>
        <w:ind w:left="0" w:firstLine="720"/>
        <w:contextualSpacing w:val="0"/>
        <w:jc w:val="both"/>
        <w:rPr>
          <w:rFonts w:ascii="Cambria" w:eastAsia="Batang" w:hAnsi="Cambria"/>
          <w:bCs/>
          <w:color w:val="080808"/>
        </w:rPr>
      </w:pPr>
      <w:r>
        <w:rPr>
          <w:rFonts w:ascii="Cambria" w:eastAsia="Batang" w:hAnsi="Cambria"/>
          <w:bCs/>
          <w:color w:val="080808"/>
        </w:rPr>
        <w:t>On December 4</w:t>
      </w:r>
      <w:r w:rsidRPr="00C50106">
        <w:rPr>
          <w:rFonts w:ascii="Cambria" w:eastAsia="Batang" w:hAnsi="Cambria"/>
          <w:bCs/>
          <w:color w:val="080808"/>
          <w:vertAlign w:val="superscript"/>
        </w:rPr>
        <w:t>th</w:t>
      </w:r>
      <w:r>
        <w:rPr>
          <w:rFonts w:ascii="Cambria" w:eastAsia="Batang" w:hAnsi="Cambria"/>
          <w:bCs/>
          <w:color w:val="080808"/>
        </w:rPr>
        <w:t xml:space="preserve">, </w:t>
      </w:r>
      <w:r w:rsidR="001010C1">
        <w:rPr>
          <w:rFonts w:ascii="Cambria" w:eastAsia="Batang" w:hAnsi="Cambria"/>
          <w:bCs/>
          <w:color w:val="080808"/>
        </w:rPr>
        <w:t xml:space="preserve">2019, the parties signed a friendly settlement agreement. </w:t>
      </w:r>
    </w:p>
    <w:p w14:paraId="31E8E91A" w14:textId="77777777" w:rsidR="001010C1" w:rsidRDefault="001010C1" w:rsidP="00C50106">
      <w:pPr>
        <w:pStyle w:val="ListParagraph"/>
        <w:spacing w:after="0" w:line="240" w:lineRule="auto"/>
        <w:contextualSpacing w:val="0"/>
        <w:jc w:val="both"/>
        <w:rPr>
          <w:rFonts w:ascii="Cambria" w:eastAsia="Batang" w:hAnsi="Cambria"/>
          <w:bCs/>
          <w:color w:val="080808"/>
        </w:rPr>
      </w:pPr>
    </w:p>
    <w:p w14:paraId="45D9E632" w14:textId="62EF3AAE" w:rsidR="00AB67D2" w:rsidRPr="00AB67D2" w:rsidRDefault="00AB67D2" w:rsidP="00AB67D2">
      <w:pPr>
        <w:pStyle w:val="ListParagraph"/>
        <w:numPr>
          <w:ilvl w:val="0"/>
          <w:numId w:val="4"/>
        </w:numPr>
        <w:spacing w:after="0" w:line="240" w:lineRule="auto"/>
        <w:ind w:left="0" w:firstLine="720"/>
        <w:contextualSpacing w:val="0"/>
        <w:jc w:val="both"/>
        <w:rPr>
          <w:rFonts w:ascii="Cambria" w:eastAsia="Batang" w:hAnsi="Cambria"/>
          <w:bCs/>
          <w:color w:val="080808"/>
        </w:rPr>
      </w:pPr>
      <w:r w:rsidRPr="00AB67D2">
        <w:rPr>
          <w:rFonts w:ascii="Cambria" w:eastAsia="Batang" w:hAnsi="Cambria"/>
          <w:bCs/>
          <w:color w:val="080808"/>
        </w:rPr>
        <w:t>The IACHR published the approval report on November 19, 2020.</w:t>
      </w:r>
    </w:p>
    <w:p w14:paraId="225512DA" w14:textId="77777777" w:rsidR="006F75AC" w:rsidRPr="007175E2" w:rsidRDefault="006F75AC" w:rsidP="00AB67D2">
      <w:pPr>
        <w:spacing w:after="0" w:line="240" w:lineRule="auto"/>
        <w:ind w:left="709"/>
        <w:jc w:val="both"/>
        <w:rPr>
          <w:rFonts w:ascii="Cambria" w:eastAsia="Batang" w:hAnsi="Cambria" w:cs="Calibri Light"/>
          <w:color w:val="000000"/>
        </w:rPr>
      </w:pPr>
    </w:p>
    <w:p w14:paraId="554FEE1F" w14:textId="77777777" w:rsidR="001541D4" w:rsidRPr="007175E2" w:rsidRDefault="001541D4" w:rsidP="00AB67D2">
      <w:pPr>
        <w:pStyle w:val="ListParagraph"/>
        <w:numPr>
          <w:ilvl w:val="0"/>
          <w:numId w:val="37"/>
        </w:numPr>
        <w:spacing w:after="0" w:line="240" w:lineRule="auto"/>
        <w:ind w:left="0" w:firstLine="720"/>
        <w:contextualSpacing w:val="0"/>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AE4A64"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C50106" w:rsidRDefault="003E6F57" w:rsidP="00F024F0">
            <w:pPr>
              <w:tabs>
                <w:tab w:val="center" w:pos="2049"/>
              </w:tabs>
              <w:spacing w:after="0" w:line="240" w:lineRule="auto"/>
              <w:jc w:val="center"/>
              <w:rPr>
                <w:rFonts w:ascii="Cambria" w:eastAsia="Batang" w:hAnsi="Cambria"/>
                <w:b/>
                <w:color w:val="000000"/>
                <w:sz w:val="20"/>
                <w:szCs w:val="20"/>
              </w:rPr>
            </w:pPr>
            <w:r w:rsidRPr="00C50106">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C50106" w:rsidRDefault="003E6F57" w:rsidP="00F024F0">
            <w:pPr>
              <w:spacing w:after="0" w:line="240" w:lineRule="auto"/>
              <w:jc w:val="center"/>
              <w:rPr>
                <w:rFonts w:ascii="Cambria" w:eastAsia="Batang" w:hAnsi="Cambria"/>
                <w:b/>
                <w:color w:val="000000"/>
                <w:sz w:val="20"/>
                <w:szCs w:val="20"/>
              </w:rPr>
            </w:pPr>
            <w:r w:rsidRPr="00C50106">
              <w:rPr>
                <w:rFonts w:ascii="Cambria" w:eastAsia="Batang" w:hAnsi="Cambria"/>
                <w:b/>
                <w:color w:val="000000"/>
                <w:sz w:val="20"/>
                <w:szCs w:val="20"/>
              </w:rPr>
              <w:t xml:space="preserve">Status of Implementation </w:t>
            </w:r>
          </w:p>
        </w:tc>
      </w:tr>
      <w:tr w:rsidR="003E6F57" w:rsidRPr="00AE4A64"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74838B56" w14:textId="77777777" w:rsidR="00AB67D2" w:rsidRPr="00C50106" w:rsidRDefault="00AB67D2" w:rsidP="00AB67D2">
            <w:pPr>
              <w:spacing w:after="0" w:line="240" w:lineRule="auto"/>
              <w:jc w:val="both"/>
              <w:rPr>
                <w:rFonts w:ascii="Cambria" w:eastAsia="Batang" w:hAnsi="Cambria"/>
                <w:b/>
                <w:bCs/>
                <w:color w:val="080808"/>
                <w:sz w:val="20"/>
                <w:szCs w:val="20"/>
              </w:rPr>
            </w:pPr>
            <w:r w:rsidRPr="00C50106">
              <w:rPr>
                <w:rFonts w:ascii="Cambria" w:eastAsia="Batang" w:hAnsi="Cambria"/>
                <w:b/>
                <w:bCs/>
                <w:color w:val="080808"/>
                <w:sz w:val="20"/>
                <w:szCs w:val="20"/>
              </w:rPr>
              <w:t>FIRST: ACKNOWLEDGMENT OF RESPONSIBILITY.</w:t>
            </w:r>
          </w:p>
          <w:p w14:paraId="758564FD" w14:textId="77777777" w:rsidR="00AB67D2" w:rsidRPr="00C50106" w:rsidRDefault="00AB67D2" w:rsidP="00AB67D2">
            <w:pPr>
              <w:spacing w:after="0" w:line="240" w:lineRule="auto"/>
              <w:jc w:val="both"/>
              <w:rPr>
                <w:rFonts w:ascii="Cambria" w:eastAsia="Batang" w:hAnsi="Cambria"/>
                <w:b/>
                <w:bCs/>
                <w:color w:val="080808"/>
                <w:sz w:val="20"/>
                <w:szCs w:val="20"/>
              </w:rPr>
            </w:pPr>
          </w:p>
          <w:p w14:paraId="30F40E5F" w14:textId="19803CC4" w:rsidR="003E6F57" w:rsidRPr="00C50106" w:rsidRDefault="00AB67D2" w:rsidP="00AB67D2">
            <w:pPr>
              <w:spacing w:after="0" w:line="240" w:lineRule="auto"/>
              <w:jc w:val="both"/>
              <w:rPr>
                <w:rFonts w:ascii="Cambria" w:eastAsia="MS Mincho" w:hAnsi="Cambria"/>
                <w:b/>
                <w:sz w:val="20"/>
                <w:szCs w:val="20"/>
                <w:lang w:eastAsia="es-ES_tradnl"/>
              </w:rPr>
            </w:pPr>
            <w:r w:rsidRPr="00C50106">
              <w:rPr>
                <w:rFonts w:ascii="Cambria" w:eastAsia="Batang" w:hAnsi="Cambria"/>
                <w:bCs/>
                <w:color w:val="080808"/>
                <w:sz w:val="20"/>
                <w:szCs w:val="20"/>
              </w:rPr>
              <w:t>The Colombian State acknowledges international responsibility for the violation of Article 8 (right to judicial guarantees) and Article 25 (right to judicial protection) of the American Convention on Human Rights to the detriment of family members of the victim, for lack of diligence in investigating deeds that occurred on December 6, 1989, in which Mr. Geminiano Gil Martínez died.</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77777777" w:rsidR="003E6F57" w:rsidRPr="00C50106" w:rsidRDefault="003E6F57" w:rsidP="00F024F0">
            <w:pPr>
              <w:spacing w:after="0" w:line="240" w:lineRule="auto"/>
              <w:jc w:val="center"/>
              <w:rPr>
                <w:rFonts w:ascii="Cambria" w:hAnsi="Cambria"/>
                <w:b/>
                <w:sz w:val="20"/>
                <w:szCs w:val="20"/>
              </w:rPr>
            </w:pPr>
            <w:r w:rsidRPr="00C50106">
              <w:rPr>
                <w:rFonts w:ascii="Cambria" w:eastAsia="Batang" w:hAnsi="Cambria"/>
                <w:b/>
                <w:color w:val="000000"/>
                <w:sz w:val="20"/>
                <w:szCs w:val="20"/>
                <w:lang w:eastAsia="es-ES_tradnl"/>
              </w:rPr>
              <w:t xml:space="preserve">Declarative clause </w:t>
            </w:r>
          </w:p>
        </w:tc>
      </w:tr>
      <w:tr w:rsidR="003E6F57" w:rsidRPr="00AE4A64"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3D703209" w14:textId="77777777" w:rsidR="00AB67D2" w:rsidRPr="00C50106" w:rsidRDefault="00AB67D2" w:rsidP="00AB67D2">
            <w:pPr>
              <w:spacing w:after="0" w:line="240" w:lineRule="auto"/>
              <w:jc w:val="both"/>
              <w:rPr>
                <w:rFonts w:ascii="Cambria" w:eastAsia="Batang" w:hAnsi="Cambria"/>
                <w:bCs/>
                <w:color w:val="080808"/>
                <w:sz w:val="20"/>
                <w:szCs w:val="20"/>
              </w:rPr>
            </w:pPr>
            <w:r w:rsidRPr="00C50106">
              <w:rPr>
                <w:rFonts w:ascii="Cambria" w:eastAsia="Batang" w:hAnsi="Cambria"/>
                <w:b/>
                <w:bCs/>
                <w:color w:val="080808"/>
                <w:sz w:val="20"/>
                <w:szCs w:val="20"/>
              </w:rPr>
              <w:t>SECOND: DISCONTINUANCE OF THE DIRECT REPARATION SUIT.</w:t>
            </w:r>
            <w:r w:rsidRPr="00C50106">
              <w:rPr>
                <w:rFonts w:ascii="Cambria" w:eastAsia="Batang" w:hAnsi="Cambria"/>
                <w:bCs/>
                <w:color w:val="080808"/>
                <w:sz w:val="20"/>
                <w:szCs w:val="20"/>
              </w:rPr>
              <w:t xml:space="preserve"> </w:t>
            </w:r>
          </w:p>
          <w:p w14:paraId="6C6004E2" w14:textId="77777777" w:rsidR="00AB67D2" w:rsidRPr="00C50106" w:rsidRDefault="00AB67D2" w:rsidP="00AB67D2">
            <w:pPr>
              <w:spacing w:after="0" w:line="240" w:lineRule="auto"/>
              <w:jc w:val="both"/>
              <w:rPr>
                <w:rFonts w:ascii="Cambria" w:eastAsia="Batang" w:hAnsi="Cambria"/>
                <w:bCs/>
                <w:color w:val="080808"/>
                <w:sz w:val="20"/>
                <w:szCs w:val="20"/>
              </w:rPr>
            </w:pPr>
          </w:p>
          <w:p w14:paraId="4DE29DF2" w14:textId="143C4BCE" w:rsidR="003E6F57" w:rsidRPr="00C50106" w:rsidRDefault="00AB67D2" w:rsidP="00AB67D2">
            <w:pPr>
              <w:spacing w:after="0" w:line="240" w:lineRule="auto"/>
              <w:ind w:right="72"/>
              <w:jc w:val="both"/>
              <w:rPr>
                <w:rFonts w:ascii="Cambria" w:hAnsi="Cambria"/>
                <w:bCs/>
                <w:color w:val="000000"/>
                <w:kern w:val="36"/>
                <w:sz w:val="20"/>
                <w:szCs w:val="20"/>
              </w:rPr>
            </w:pPr>
            <w:r w:rsidRPr="00C50106">
              <w:rPr>
                <w:rFonts w:ascii="Cambria" w:eastAsia="Batang" w:hAnsi="Cambria"/>
                <w:bCs/>
                <w:color w:val="080808"/>
                <w:sz w:val="20"/>
                <w:szCs w:val="20"/>
              </w:rPr>
              <w:t>In view of the signing of the present friendly settlement agreement by the Colombian State and the representatives of the victims, the petitioners commit to discontinue Direct Reparation Suit No. 05001233100020090059701 being processed on first appeal by the Council of State, Section Three. They also expressly waive filing any other domestic lawsuit on account of the same facts and for the same claims.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77777777" w:rsidR="003E6F57" w:rsidRPr="00C50106" w:rsidRDefault="003E6F57" w:rsidP="00F024F0">
            <w:pPr>
              <w:spacing w:after="0" w:line="240" w:lineRule="auto"/>
              <w:jc w:val="center"/>
              <w:rPr>
                <w:rFonts w:ascii="Cambria" w:eastAsia="Batang" w:hAnsi="Cambria"/>
                <w:b/>
                <w:bCs/>
                <w:color w:val="000000"/>
                <w:sz w:val="20"/>
                <w:szCs w:val="20"/>
              </w:rPr>
            </w:pPr>
            <w:r w:rsidRPr="00C50106">
              <w:rPr>
                <w:rFonts w:ascii="Cambria" w:eastAsia="Batang" w:hAnsi="Cambria"/>
                <w:b/>
                <w:bCs/>
                <w:color w:val="000000"/>
                <w:sz w:val="20"/>
                <w:szCs w:val="20"/>
                <w:lang w:eastAsia="es-ES_tradnl"/>
              </w:rPr>
              <w:t xml:space="preserve">Declarative clause </w:t>
            </w:r>
          </w:p>
        </w:tc>
      </w:tr>
      <w:tr w:rsidR="00AB67D2" w:rsidRPr="00AE4A64" w14:paraId="68C2AF79" w14:textId="77777777" w:rsidTr="00AB67D2">
        <w:trPr>
          <w:trHeight w:val="367"/>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60A65974" w14:textId="03DAB14A" w:rsidR="00AB67D2" w:rsidRPr="00C50106" w:rsidRDefault="00AB67D2" w:rsidP="00AB67D2">
            <w:pPr>
              <w:spacing w:after="0" w:line="240" w:lineRule="auto"/>
              <w:rPr>
                <w:rFonts w:ascii="Cambria" w:hAnsi="Cambria"/>
                <w:b/>
                <w:sz w:val="20"/>
                <w:szCs w:val="20"/>
              </w:rPr>
            </w:pPr>
            <w:r w:rsidRPr="00C50106">
              <w:rPr>
                <w:rFonts w:ascii="Cambria" w:hAnsi="Cambria"/>
                <w:b/>
                <w:sz w:val="20"/>
                <w:szCs w:val="20"/>
              </w:rPr>
              <w:t>THIRD: MEASURES OF SATISFACTION</w:t>
            </w:r>
          </w:p>
        </w:tc>
      </w:tr>
      <w:tr w:rsidR="003E6F57" w:rsidRPr="00AE4A64" w14:paraId="0C4AA553"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0E34A83C" w14:textId="5B0486E9" w:rsidR="003E6F57" w:rsidRPr="00C50106" w:rsidRDefault="00AB67D2" w:rsidP="00AB67D2">
            <w:pPr>
              <w:spacing w:after="0" w:line="240" w:lineRule="auto"/>
              <w:jc w:val="both"/>
              <w:rPr>
                <w:rFonts w:ascii="Cambria" w:eastAsia="Times New Roman" w:hAnsi="Cambria"/>
                <w:bCs/>
                <w:sz w:val="20"/>
                <w:szCs w:val="20"/>
              </w:rPr>
            </w:pPr>
            <w:r w:rsidRPr="00C50106">
              <w:rPr>
                <w:rFonts w:ascii="Cambria" w:eastAsia="Times New Roman" w:hAnsi="Cambria"/>
                <w:b/>
                <w:bCs/>
                <w:sz w:val="20"/>
                <w:szCs w:val="20"/>
              </w:rPr>
              <w:t xml:space="preserve">a) Act of acknowledgment of responsibility: </w:t>
            </w:r>
            <w:r w:rsidRPr="00C50106">
              <w:rPr>
                <w:rFonts w:ascii="Cambria" w:eastAsia="Times New Roman" w:hAnsi="Cambria"/>
                <w:bCs/>
                <w:sz w:val="20"/>
                <w:szCs w:val="20"/>
              </w:rPr>
              <w:t>A private ceremony of apology and to restore dignity in the Jesucristo Redentor Army Cathedral in Bogotá, presided over by a senior National Government official. The ceremony in which the State acknowledges its responsibility shall include active participation by family members and representatives of the victims. In that ceremony, the State shall acknowledge its responsibility in the terms agreed to in this Agreement. The National Agency for Legal Defense of the State shall be responsible for implementing this measure, in coordination with the Ministry of National Defense.</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3E6F57" w:rsidRPr="00C50106" w:rsidRDefault="003E6F57" w:rsidP="00F024F0">
            <w:pPr>
              <w:spacing w:after="0" w:line="240" w:lineRule="auto"/>
              <w:jc w:val="center"/>
              <w:rPr>
                <w:rFonts w:ascii="Cambria" w:hAnsi="Cambria"/>
                <w:b/>
                <w:color w:val="000000"/>
                <w:sz w:val="20"/>
                <w:szCs w:val="20"/>
              </w:rPr>
            </w:pPr>
            <w:r w:rsidRPr="00C50106">
              <w:rPr>
                <w:rFonts w:ascii="Cambria" w:hAnsi="Cambria"/>
                <w:b/>
                <w:sz w:val="20"/>
                <w:szCs w:val="20"/>
              </w:rPr>
              <w:t>Total</w:t>
            </w:r>
            <w:r w:rsidRPr="00C50106">
              <w:rPr>
                <w:rFonts w:ascii="Cambria" w:eastAsia="MS Mincho" w:hAnsi="Cambria"/>
                <w:b/>
                <w:sz w:val="20"/>
                <w:szCs w:val="20"/>
                <w:vertAlign w:val="superscript"/>
                <w:lang w:eastAsia="es-ES_tradnl"/>
              </w:rPr>
              <w:footnoteReference w:id="1"/>
            </w:r>
          </w:p>
        </w:tc>
      </w:tr>
      <w:tr w:rsidR="003E6F57" w:rsidRPr="00AE4A64" w14:paraId="29CCA4D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7EC4F4AA" w14:textId="74AF2E04" w:rsidR="003E6F57" w:rsidRPr="00C50106" w:rsidRDefault="00AB67D2" w:rsidP="00F024F0">
            <w:pPr>
              <w:spacing w:after="0" w:line="240" w:lineRule="auto"/>
              <w:ind w:right="72"/>
              <w:jc w:val="both"/>
              <w:rPr>
                <w:rFonts w:ascii="Cambria" w:eastAsia="Times New Roman" w:hAnsi="Cambria"/>
                <w:bCs/>
                <w:sz w:val="20"/>
                <w:szCs w:val="20"/>
              </w:rPr>
            </w:pPr>
            <w:r w:rsidRPr="00C50106">
              <w:rPr>
                <w:rFonts w:ascii="Cambria" w:eastAsia="Batang" w:hAnsi="Cambria"/>
                <w:b/>
                <w:bCs/>
                <w:color w:val="080808"/>
                <w:sz w:val="20"/>
                <w:szCs w:val="20"/>
              </w:rPr>
              <w:t xml:space="preserve">b) Delivery of mementos and invitations: </w:t>
            </w:r>
            <w:r w:rsidRPr="00C50106">
              <w:rPr>
                <w:rFonts w:ascii="Cambria" w:eastAsia="Batang" w:hAnsi="Cambria"/>
                <w:bCs/>
                <w:color w:val="080808"/>
                <w:sz w:val="20"/>
                <w:szCs w:val="20"/>
              </w:rPr>
              <w:t>The Office of the Presidential Adviser on Human Rights shall oversee preparation of mementos and invitations to be delivered during the Acknowledgment of Responsibility ceremony. How these measures are implemented shall be agreed upon with the victims and their representatives.</w:t>
            </w:r>
          </w:p>
        </w:tc>
        <w:tc>
          <w:tcPr>
            <w:tcW w:w="1985" w:type="dxa"/>
            <w:tcBorders>
              <w:top w:val="single" w:sz="4" w:space="0" w:color="auto"/>
              <w:left w:val="single" w:sz="4" w:space="0" w:color="auto"/>
              <w:bottom w:val="single" w:sz="4" w:space="0" w:color="auto"/>
              <w:right w:val="single" w:sz="4" w:space="0" w:color="auto"/>
            </w:tcBorders>
            <w:vAlign w:val="center"/>
          </w:tcPr>
          <w:p w14:paraId="64EB168A" w14:textId="77777777" w:rsidR="003E6F57" w:rsidRPr="00C50106" w:rsidRDefault="003E6F57" w:rsidP="00F024F0">
            <w:pPr>
              <w:spacing w:after="0" w:line="240" w:lineRule="auto"/>
              <w:jc w:val="center"/>
              <w:rPr>
                <w:rFonts w:ascii="Cambria" w:hAnsi="Cambria"/>
                <w:b/>
                <w:color w:val="000000"/>
                <w:sz w:val="20"/>
                <w:szCs w:val="20"/>
              </w:rPr>
            </w:pPr>
            <w:r w:rsidRPr="00C50106">
              <w:rPr>
                <w:rFonts w:ascii="Cambria" w:eastAsia="Batang" w:hAnsi="Cambria"/>
                <w:b/>
                <w:color w:val="000000"/>
                <w:sz w:val="20"/>
                <w:szCs w:val="20"/>
                <w:lang w:eastAsia="es-ES_tradnl"/>
              </w:rPr>
              <w:t>Total</w:t>
            </w:r>
            <w:r w:rsidRPr="00C50106">
              <w:rPr>
                <w:rFonts w:ascii="Cambria" w:eastAsia="Batang" w:hAnsi="Cambria"/>
                <w:b/>
                <w:color w:val="000000"/>
                <w:sz w:val="20"/>
                <w:szCs w:val="20"/>
                <w:vertAlign w:val="superscript"/>
                <w:lang w:eastAsia="es-ES_tradnl"/>
              </w:rPr>
              <w:footnoteReference w:id="2"/>
            </w:r>
          </w:p>
        </w:tc>
      </w:tr>
      <w:tr w:rsidR="00AB67D2" w:rsidRPr="00AE4A64" w14:paraId="488E771B"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78E74ACA" w14:textId="1FD1243A" w:rsidR="00AB67D2" w:rsidRPr="00C50106" w:rsidRDefault="00AB67D2" w:rsidP="006F75AC">
            <w:pPr>
              <w:spacing w:after="0" w:line="240" w:lineRule="auto"/>
              <w:jc w:val="both"/>
              <w:rPr>
                <w:rFonts w:ascii="Cambria" w:eastAsia="Batang" w:hAnsi="Cambria"/>
                <w:bCs/>
                <w:color w:val="080808"/>
                <w:sz w:val="20"/>
                <w:szCs w:val="20"/>
              </w:rPr>
            </w:pPr>
            <w:r w:rsidRPr="00C50106">
              <w:rPr>
                <w:rFonts w:ascii="Cambria" w:eastAsia="Batang" w:hAnsi="Cambria"/>
                <w:b/>
                <w:color w:val="080808"/>
                <w:sz w:val="20"/>
                <w:szCs w:val="20"/>
              </w:rPr>
              <w:t xml:space="preserve">c) Publication of the facts: </w:t>
            </w:r>
            <w:r w:rsidRPr="00C50106">
              <w:rPr>
                <w:rFonts w:ascii="Cambria" w:eastAsia="Batang" w:hAnsi="Cambria"/>
                <w:bCs/>
                <w:color w:val="080808"/>
                <w:sz w:val="20"/>
                <w:szCs w:val="20"/>
              </w:rPr>
              <w:t>The Colombian State commits to posting the report issued by the Inter-American Commission on Human Rights pursuant to Article 49 of the American Convention that approves the friendly settlement agreement on the web page of the National Legal Defense Agency of the State for a period of six months.</w:t>
            </w:r>
          </w:p>
        </w:tc>
        <w:tc>
          <w:tcPr>
            <w:tcW w:w="1985" w:type="dxa"/>
            <w:tcBorders>
              <w:top w:val="single" w:sz="4" w:space="0" w:color="auto"/>
              <w:left w:val="single" w:sz="4" w:space="0" w:color="auto"/>
              <w:bottom w:val="single" w:sz="4" w:space="0" w:color="auto"/>
              <w:right w:val="single" w:sz="4" w:space="0" w:color="auto"/>
            </w:tcBorders>
            <w:vAlign w:val="center"/>
          </w:tcPr>
          <w:p w14:paraId="5C2D1514" w14:textId="58C9406F" w:rsidR="00AB67D2" w:rsidRPr="00C50106" w:rsidRDefault="00AB67D2" w:rsidP="00F024F0">
            <w:pPr>
              <w:spacing w:after="0" w:line="240" w:lineRule="auto"/>
              <w:jc w:val="center"/>
              <w:rPr>
                <w:rFonts w:ascii="Cambria" w:eastAsia="Batang" w:hAnsi="Cambria"/>
                <w:b/>
                <w:color w:val="000000"/>
                <w:sz w:val="20"/>
                <w:szCs w:val="20"/>
                <w:lang w:eastAsia="es-ES_tradnl"/>
              </w:rPr>
            </w:pPr>
            <w:r w:rsidRPr="00C50106">
              <w:rPr>
                <w:rFonts w:ascii="Cambria" w:eastAsia="Batang" w:hAnsi="Cambria"/>
                <w:b/>
                <w:color w:val="000000"/>
                <w:sz w:val="20"/>
                <w:szCs w:val="20"/>
                <w:lang w:eastAsia="es-ES_tradnl"/>
              </w:rPr>
              <w:t>Total</w:t>
            </w:r>
            <w:r w:rsidRPr="00C50106">
              <w:rPr>
                <w:rStyle w:val="FootnoteReference"/>
                <w:rFonts w:ascii="Cambria" w:eastAsia="Batang" w:hAnsi="Cambria"/>
                <w:b/>
                <w:color w:val="000000"/>
                <w:sz w:val="20"/>
                <w:szCs w:val="20"/>
                <w:lang w:eastAsia="es-ES_tradnl"/>
              </w:rPr>
              <w:footnoteReference w:id="3"/>
            </w:r>
          </w:p>
        </w:tc>
      </w:tr>
      <w:tr w:rsidR="00AB67D2" w:rsidRPr="00AE4A64" w14:paraId="1D7A7BAA"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0396B28E" w14:textId="77777777" w:rsidR="00AB67D2" w:rsidRPr="00C50106" w:rsidRDefault="00AB67D2" w:rsidP="00AB67D2">
            <w:pPr>
              <w:spacing w:after="0" w:line="240" w:lineRule="auto"/>
              <w:jc w:val="both"/>
              <w:rPr>
                <w:rFonts w:ascii="Cambria" w:eastAsia="Batang" w:hAnsi="Cambria"/>
                <w:b/>
                <w:color w:val="080808"/>
                <w:sz w:val="20"/>
                <w:szCs w:val="20"/>
              </w:rPr>
            </w:pPr>
            <w:r w:rsidRPr="00C50106">
              <w:rPr>
                <w:rFonts w:ascii="Cambria" w:eastAsia="Batang" w:hAnsi="Cambria"/>
                <w:b/>
                <w:color w:val="080808"/>
                <w:sz w:val="20"/>
                <w:szCs w:val="20"/>
              </w:rPr>
              <w:t>FOURTH: FINANCIAL REPARATION.</w:t>
            </w:r>
          </w:p>
          <w:p w14:paraId="015C123B" w14:textId="474CA450" w:rsidR="00AB67D2" w:rsidRPr="00C50106" w:rsidRDefault="00AB67D2" w:rsidP="00AB67D2">
            <w:pPr>
              <w:spacing w:after="0" w:line="240" w:lineRule="auto"/>
              <w:jc w:val="both"/>
              <w:rPr>
                <w:rFonts w:ascii="Cambria" w:eastAsia="Batang" w:hAnsi="Cambria"/>
                <w:bCs/>
                <w:color w:val="080808"/>
                <w:sz w:val="20"/>
                <w:szCs w:val="20"/>
              </w:rPr>
            </w:pPr>
            <w:r w:rsidRPr="00C50106">
              <w:rPr>
                <w:rFonts w:ascii="Cambria" w:eastAsia="Batang" w:hAnsi="Cambria"/>
                <w:bCs/>
                <w:color w:val="080808"/>
                <w:sz w:val="20"/>
                <w:szCs w:val="20"/>
              </w:rPr>
              <w:lastRenderedPageBreak/>
              <w:t>The State commits to applying Law 288 of 1996 once the present Friendly Settlement Agreement is approved by issuance of the report envisaged in Article 49 of the American Convention on Human Rights, its purpose being to provide reparation for such material and immaterial damages as may be proven in favor of the victims' relatives that have not received compensation in the administrative jurisdiction, or, if they have, discounting the amounts recognized for administrative reparation. To that end, recourse shall be had to the criteria and amounts recognized in current Council of State case law.</w:t>
            </w:r>
          </w:p>
        </w:tc>
        <w:tc>
          <w:tcPr>
            <w:tcW w:w="1985" w:type="dxa"/>
            <w:tcBorders>
              <w:top w:val="single" w:sz="4" w:space="0" w:color="auto"/>
              <w:left w:val="single" w:sz="4" w:space="0" w:color="auto"/>
              <w:bottom w:val="single" w:sz="4" w:space="0" w:color="auto"/>
              <w:right w:val="single" w:sz="4" w:space="0" w:color="auto"/>
            </w:tcBorders>
            <w:vAlign w:val="center"/>
          </w:tcPr>
          <w:p w14:paraId="4434179B" w14:textId="56130839" w:rsidR="00AB67D2" w:rsidRPr="00C50106" w:rsidRDefault="00AB67D2" w:rsidP="00F024F0">
            <w:pPr>
              <w:spacing w:after="0" w:line="240" w:lineRule="auto"/>
              <w:jc w:val="center"/>
              <w:rPr>
                <w:rFonts w:ascii="Cambria" w:eastAsia="Batang" w:hAnsi="Cambria"/>
                <w:b/>
                <w:color w:val="000000"/>
                <w:sz w:val="20"/>
                <w:szCs w:val="20"/>
                <w:lang w:eastAsia="es-ES_tradnl"/>
              </w:rPr>
            </w:pPr>
            <w:r w:rsidRPr="00D26733">
              <w:rPr>
                <w:rFonts w:ascii="Cambria" w:eastAsia="Batang" w:hAnsi="Cambria"/>
                <w:b/>
                <w:color w:val="000000"/>
                <w:sz w:val="20"/>
                <w:szCs w:val="20"/>
                <w:lang w:eastAsia="es-ES_tradnl"/>
              </w:rPr>
              <w:lastRenderedPageBreak/>
              <w:t>Total</w:t>
            </w:r>
            <w:r w:rsidRPr="00D26733">
              <w:rPr>
                <w:rStyle w:val="FootnoteReference"/>
                <w:rFonts w:ascii="Cambria" w:eastAsia="Batang" w:hAnsi="Cambria"/>
                <w:b/>
                <w:color w:val="000000"/>
                <w:sz w:val="20"/>
                <w:szCs w:val="20"/>
                <w:lang w:eastAsia="es-ES_tradnl"/>
              </w:rPr>
              <w:footnoteReference w:id="4"/>
            </w:r>
          </w:p>
        </w:tc>
      </w:tr>
    </w:tbl>
    <w:p w14:paraId="76569D6D" w14:textId="77777777" w:rsidR="003E6F57" w:rsidRPr="00AB67D2" w:rsidRDefault="003E6F57" w:rsidP="001541D4">
      <w:pPr>
        <w:spacing w:after="0" w:line="240" w:lineRule="auto"/>
        <w:ind w:left="709" w:right="4"/>
        <w:jc w:val="both"/>
        <w:rPr>
          <w:rFonts w:ascii="Cambria" w:eastAsia="MS Mincho" w:hAnsi="Cambria"/>
          <w:color w:val="000000"/>
        </w:rPr>
      </w:pPr>
    </w:p>
    <w:p w14:paraId="73E24492" w14:textId="77777777" w:rsidR="003E6F57" w:rsidRPr="00AB67D2"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AB67D2">
        <w:rPr>
          <w:rFonts w:ascii="Cambria" w:eastAsia="Batang" w:hAnsi="Cambria" w:cs="Calibri Light"/>
          <w:b/>
          <w:color w:val="000000"/>
        </w:rPr>
        <w:t xml:space="preserve">LEVEL OF COMPLIANCE OF THE CASE </w:t>
      </w:r>
    </w:p>
    <w:p w14:paraId="4A6D9D7C" w14:textId="77777777" w:rsidR="003E6F57" w:rsidRPr="00C50106" w:rsidRDefault="003E6F57" w:rsidP="003E6F57">
      <w:pPr>
        <w:tabs>
          <w:tab w:val="left" w:pos="720"/>
        </w:tabs>
        <w:autoSpaceDE w:val="0"/>
        <w:autoSpaceDN w:val="0"/>
        <w:adjustRightInd w:val="0"/>
        <w:spacing w:after="0" w:line="240" w:lineRule="auto"/>
        <w:ind w:left="1440"/>
        <w:jc w:val="both"/>
        <w:rPr>
          <w:rFonts w:ascii="Cambria" w:eastAsia="Batang" w:hAnsi="Cambria"/>
          <w:color w:val="000000"/>
          <w:sz w:val="20"/>
          <w:szCs w:val="20"/>
        </w:rPr>
      </w:pPr>
    </w:p>
    <w:p w14:paraId="6A3F6F0B" w14:textId="43D6CA4F" w:rsidR="003E6F57" w:rsidRPr="00C50106" w:rsidRDefault="003E6F57" w:rsidP="00C50106">
      <w:pPr>
        <w:pStyle w:val="ListParagraph"/>
        <w:numPr>
          <w:ilvl w:val="0"/>
          <w:numId w:val="4"/>
        </w:numPr>
        <w:tabs>
          <w:tab w:val="left" w:pos="720"/>
        </w:tabs>
        <w:autoSpaceDE w:val="0"/>
        <w:autoSpaceDN w:val="0"/>
        <w:adjustRightInd w:val="0"/>
        <w:spacing w:after="0" w:line="240" w:lineRule="auto"/>
        <w:ind w:left="0" w:firstLine="720"/>
        <w:jc w:val="both"/>
        <w:rPr>
          <w:rFonts w:ascii="Cambria" w:eastAsia="Batang" w:hAnsi="Cambria" w:cs="Calibri Light"/>
          <w:b/>
          <w:color w:val="080808"/>
          <w:sz w:val="20"/>
          <w:szCs w:val="20"/>
        </w:rPr>
      </w:pPr>
      <w:r w:rsidRPr="00C50106">
        <w:rPr>
          <w:rFonts w:ascii="Cambria" w:hAnsi="Cambria"/>
          <w:color w:val="080808"/>
          <w:sz w:val="20"/>
          <w:szCs w:val="20"/>
        </w:rPr>
        <w:t>The Commission declared full compliance with the case and the ceasing of the follow-up of the friendly settlement agreement in the 202</w:t>
      </w:r>
      <w:r w:rsidR="006F75AC" w:rsidRPr="00C50106">
        <w:rPr>
          <w:rFonts w:ascii="Cambria" w:hAnsi="Cambria"/>
          <w:color w:val="080808"/>
          <w:sz w:val="20"/>
          <w:szCs w:val="20"/>
        </w:rPr>
        <w:t>3</w:t>
      </w:r>
      <w:r w:rsidRPr="00C50106">
        <w:rPr>
          <w:rFonts w:ascii="Cambria" w:hAnsi="Cambria"/>
          <w:color w:val="080808"/>
          <w:sz w:val="20"/>
          <w:szCs w:val="20"/>
        </w:rPr>
        <w:t xml:space="preserve"> Annual Report.</w:t>
      </w:r>
    </w:p>
    <w:p w14:paraId="1E93E066" w14:textId="77777777" w:rsidR="003E6F57" w:rsidRPr="00AB67D2" w:rsidRDefault="003E6F57" w:rsidP="003E6F57">
      <w:pPr>
        <w:pStyle w:val="ListParagraph"/>
        <w:autoSpaceDE w:val="0"/>
        <w:autoSpaceDN w:val="0"/>
        <w:adjustRightInd w:val="0"/>
        <w:spacing w:after="0" w:line="240" w:lineRule="auto"/>
        <w:ind w:left="0" w:firstLine="709"/>
        <w:jc w:val="both"/>
        <w:rPr>
          <w:rFonts w:ascii="Cambria" w:eastAsia="Batang" w:hAnsi="Cambria" w:cs="Calibri Light"/>
          <w:b/>
          <w:color w:val="080808"/>
        </w:rPr>
      </w:pPr>
    </w:p>
    <w:p w14:paraId="6DFFF31B" w14:textId="77777777" w:rsidR="003E6F57" w:rsidRPr="00AB67D2" w:rsidRDefault="003E6F57" w:rsidP="00637AFB">
      <w:pPr>
        <w:pStyle w:val="ListParagraph"/>
        <w:numPr>
          <w:ilvl w:val="0"/>
          <w:numId w:val="37"/>
        </w:numPr>
        <w:spacing w:after="0" w:line="240" w:lineRule="auto"/>
        <w:jc w:val="both"/>
        <w:rPr>
          <w:rFonts w:ascii="Cambria" w:eastAsia="Batang" w:hAnsi="Cambria" w:cs="Calibri Light"/>
          <w:b/>
          <w:color w:val="000000"/>
        </w:rPr>
      </w:pPr>
      <w:r w:rsidRPr="00AB67D2">
        <w:rPr>
          <w:rFonts w:ascii="Cambria" w:eastAsia="Batang" w:hAnsi="Cambria" w:cs="Calibri Light"/>
          <w:b/>
          <w:color w:val="000000"/>
        </w:rPr>
        <w:t xml:space="preserve">INDIVIDUAL AND STRUCTURAL OUTCOMES OF THE CASE </w:t>
      </w:r>
    </w:p>
    <w:p w14:paraId="0F1E3E7C" w14:textId="77777777" w:rsidR="003E6F57" w:rsidRPr="00AB67D2" w:rsidRDefault="003E6F57" w:rsidP="003E6F57">
      <w:pPr>
        <w:spacing w:after="0" w:line="240" w:lineRule="auto"/>
        <w:ind w:firstLine="709"/>
        <w:contextualSpacing/>
        <w:jc w:val="both"/>
        <w:rPr>
          <w:rFonts w:ascii="Cambria" w:eastAsia="Batang" w:hAnsi="Cambria" w:cs="Calibri Light"/>
          <w:b/>
          <w:color w:val="000000"/>
        </w:rPr>
      </w:pPr>
    </w:p>
    <w:p w14:paraId="164FCF46" w14:textId="77777777" w:rsidR="003E6F57" w:rsidRPr="00AB67D2" w:rsidRDefault="003E6F57" w:rsidP="00637AFB">
      <w:pPr>
        <w:numPr>
          <w:ilvl w:val="0"/>
          <w:numId w:val="38"/>
        </w:numPr>
        <w:spacing w:after="0" w:line="240" w:lineRule="auto"/>
        <w:ind w:left="1418" w:right="4" w:hanging="709"/>
        <w:contextualSpacing/>
        <w:jc w:val="both"/>
        <w:rPr>
          <w:rFonts w:ascii="Cambria" w:hAnsi="Cambria" w:cs="Calibri Light"/>
          <w:b/>
        </w:rPr>
      </w:pPr>
      <w:r w:rsidRPr="00AB67D2">
        <w:rPr>
          <w:rFonts w:ascii="Cambria" w:hAnsi="Cambria" w:cs="Calibri Light"/>
          <w:b/>
        </w:rPr>
        <w:t>Individual outcomes of the case</w:t>
      </w:r>
    </w:p>
    <w:p w14:paraId="0ECF7B10" w14:textId="77777777" w:rsidR="003E6F57" w:rsidRPr="00AB67D2" w:rsidRDefault="003E6F57" w:rsidP="003E6F57">
      <w:pPr>
        <w:spacing w:after="0" w:line="240" w:lineRule="auto"/>
        <w:ind w:left="1418" w:right="4" w:hanging="709"/>
        <w:contextualSpacing/>
        <w:jc w:val="both"/>
        <w:rPr>
          <w:rFonts w:ascii="Cambria" w:hAnsi="Cambria" w:cs="Calibri Light"/>
          <w:b/>
        </w:rPr>
      </w:pPr>
    </w:p>
    <w:p w14:paraId="3DDD635B" w14:textId="77777777" w:rsidR="00AB67D2" w:rsidRPr="00C50106" w:rsidRDefault="00AB67D2" w:rsidP="00AB67D2">
      <w:pPr>
        <w:numPr>
          <w:ilvl w:val="0"/>
          <w:numId w:val="6"/>
        </w:numPr>
        <w:spacing w:after="0" w:line="240" w:lineRule="auto"/>
        <w:ind w:left="1440" w:right="4" w:hanging="720"/>
        <w:contextualSpacing/>
        <w:jc w:val="both"/>
        <w:rPr>
          <w:rFonts w:ascii="Cambria" w:eastAsia="Batang" w:hAnsi="Cambria"/>
          <w:bCs/>
          <w:color w:val="080808"/>
          <w:sz w:val="20"/>
          <w:szCs w:val="20"/>
        </w:rPr>
      </w:pPr>
      <w:r w:rsidRPr="00C50106">
        <w:rPr>
          <w:rFonts w:ascii="Cambria" w:eastAsia="Batang" w:hAnsi="Cambria"/>
          <w:bCs/>
          <w:color w:val="080808"/>
          <w:sz w:val="20"/>
          <w:szCs w:val="20"/>
        </w:rPr>
        <w:t>The State conducted the private Acknowledgment of Responsibility and Request for Forgiveness ceremony in the Jesucristo Redentor Army Cathedral. It began with a liturgical act commemorating the 30th anniversary of the death of Geminiano Gil Martínez: an event of great symbolic importance for the family. The ceremony was presided over by the Director General of the National Legal Defense Agency of the State (ANDJE), who, on behalf of the Colombian State, asked the victims and their next of kin for forgiveness for what had happened and acknowledged the State's responsibility.</w:t>
      </w:r>
    </w:p>
    <w:p w14:paraId="713975FE" w14:textId="77777777" w:rsidR="00AB67D2" w:rsidRPr="00C50106" w:rsidRDefault="00AB67D2" w:rsidP="00AB67D2">
      <w:pPr>
        <w:numPr>
          <w:ilvl w:val="0"/>
          <w:numId w:val="6"/>
        </w:numPr>
        <w:spacing w:after="0" w:line="240" w:lineRule="auto"/>
        <w:ind w:left="1440" w:right="4" w:hanging="720"/>
        <w:contextualSpacing/>
        <w:jc w:val="both"/>
        <w:rPr>
          <w:rFonts w:ascii="Cambria" w:eastAsia="Batang" w:hAnsi="Cambria"/>
          <w:bCs/>
          <w:color w:val="080808"/>
          <w:sz w:val="20"/>
          <w:szCs w:val="20"/>
        </w:rPr>
      </w:pPr>
      <w:r w:rsidRPr="00C50106">
        <w:rPr>
          <w:rFonts w:ascii="Cambria" w:eastAsia="Batang" w:hAnsi="Cambria"/>
          <w:bCs/>
          <w:color w:val="080808"/>
          <w:sz w:val="20"/>
          <w:szCs w:val="20"/>
        </w:rPr>
        <w:t>The State sent out invitations to the ceremony to the victims and their next of kin and provided the IACHR with a photographic record of those invitations. During the ceremony, 80 mementos and 20 printed invitations were handed out, along with a photographic record of the order of business and of the ceremony, which was attended by members of the victim's family, the Ministry of Defense, and ANDJE.</w:t>
      </w:r>
    </w:p>
    <w:p w14:paraId="7CD8CF30" w14:textId="53086BB0" w:rsidR="006F75AC" w:rsidRPr="00C50106" w:rsidRDefault="00AB67D2" w:rsidP="00AB67D2">
      <w:pPr>
        <w:numPr>
          <w:ilvl w:val="0"/>
          <w:numId w:val="6"/>
        </w:numPr>
        <w:spacing w:after="0" w:line="240" w:lineRule="auto"/>
        <w:ind w:left="1440" w:right="4" w:hanging="720"/>
        <w:contextualSpacing/>
        <w:jc w:val="both"/>
        <w:rPr>
          <w:rFonts w:ascii="Cambria" w:eastAsia="Batang" w:hAnsi="Cambria"/>
          <w:color w:val="000000"/>
          <w:sz w:val="20"/>
          <w:szCs w:val="20"/>
        </w:rPr>
      </w:pPr>
      <w:r w:rsidRPr="00C50106">
        <w:rPr>
          <w:rFonts w:ascii="Cambria" w:eastAsia="Batang" w:hAnsi="Cambria"/>
          <w:bCs/>
          <w:color w:val="080808"/>
          <w:sz w:val="20"/>
          <w:szCs w:val="20"/>
        </w:rPr>
        <w:t>In connection with the procedure established in Law 288/96, the State made the compensation payment to the beneficiaries of the friendly settlement agreement, through Resolution No. 282 of May 25, 2023, for a total amount of $1,513,514,685.69 pesos.</w:t>
      </w:r>
    </w:p>
    <w:p w14:paraId="3CC7E559" w14:textId="77777777" w:rsidR="006F75AC" w:rsidRPr="00C50106" w:rsidRDefault="006F75AC" w:rsidP="006F75AC">
      <w:pPr>
        <w:spacing w:after="0" w:line="240" w:lineRule="auto"/>
        <w:ind w:left="1418" w:right="4"/>
        <w:contextualSpacing/>
        <w:jc w:val="both"/>
        <w:rPr>
          <w:rFonts w:ascii="Cambria" w:eastAsia="Batang" w:hAnsi="Cambria"/>
          <w:color w:val="000000"/>
          <w:sz w:val="20"/>
          <w:szCs w:val="20"/>
        </w:rPr>
      </w:pPr>
    </w:p>
    <w:p w14:paraId="599C3DC9" w14:textId="77777777" w:rsidR="003E6F57" w:rsidRPr="00C50106" w:rsidRDefault="003E6F57" w:rsidP="00637AFB">
      <w:pPr>
        <w:numPr>
          <w:ilvl w:val="0"/>
          <w:numId w:val="38"/>
        </w:numPr>
        <w:spacing w:after="0" w:line="240" w:lineRule="auto"/>
        <w:ind w:left="1418" w:right="4" w:hanging="709"/>
        <w:jc w:val="both"/>
        <w:rPr>
          <w:rFonts w:ascii="Cambria" w:eastAsia="MS Mincho" w:hAnsi="Cambria"/>
          <w:b/>
          <w:sz w:val="20"/>
          <w:szCs w:val="20"/>
          <w:lang w:eastAsia="es-ES_tradnl"/>
        </w:rPr>
      </w:pPr>
      <w:r w:rsidRPr="00C50106">
        <w:rPr>
          <w:rFonts w:ascii="Cambria" w:eastAsia="MS Mincho" w:hAnsi="Cambria"/>
          <w:b/>
          <w:sz w:val="20"/>
          <w:szCs w:val="20"/>
          <w:lang w:eastAsia="es-ES_tradnl"/>
        </w:rPr>
        <w:t>Structural outcomes of the case</w:t>
      </w:r>
    </w:p>
    <w:p w14:paraId="59FB2C1F" w14:textId="77777777" w:rsidR="003E6F57" w:rsidRPr="00C50106" w:rsidRDefault="003E6F57" w:rsidP="003E6F57">
      <w:pPr>
        <w:spacing w:after="0" w:line="240" w:lineRule="auto"/>
        <w:ind w:left="1418" w:right="4" w:hanging="709"/>
        <w:jc w:val="both"/>
        <w:rPr>
          <w:rFonts w:ascii="Cambria" w:eastAsia="MS Mincho" w:hAnsi="Cambria"/>
          <w:sz w:val="20"/>
          <w:szCs w:val="20"/>
          <w:lang w:eastAsia="es-ES_tradnl"/>
        </w:rPr>
      </w:pPr>
    </w:p>
    <w:p w14:paraId="348955C8" w14:textId="333665C3" w:rsidR="003E6F57" w:rsidRPr="00C50106" w:rsidRDefault="00AB67D2" w:rsidP="006F75AC">
      <w:pPr>
        <w:numPr>
          <w:ilvl w:val="0"/>
          <w:numId w:val="36"/>
        </w:numPr>
        <w:tabs>
          <w:tab w:val="left" w:pos="0"/>
        </w:tabs>
        <w:spacing w:after="0" w:line="240" w:lineRule="auto"/>
        <w:ind w:left="1418" w:right="4" w:hanging="709"/>
        <w:contextualSpacing/>
        <w:jc w:val="both"/>
        <w:rPr>
          <w:rFonts w:ascii="Cambria" w:eastAsia="MS Mincho" w:hAnsi="Cambria"/>
          <w:color w:val="000000"/>
          <w:sz w:val="20"/>
          <w:szCs w:val="20"/>
        </w:rPr>
      </w:pPr>
      <w:r w:rsidRPr="00C50106">
        <w:rPr>
          <w:rFonts w:ascii="Cambria" w:eastAsia="Batang" w:hAnsi="Cambria"/>
          <w:bCs/>
          <w:color w:val="080808"/>
          <w:sz w:val="20"/>
          <w:szCs w:val="20"/>
        </w:rPr>
        <w:t xml:space="preserve">The State published the Article 49 report on the web page of the National Legal Defense Agency of the State: </w:t>
      </w:r>
      <w:hyperlink r:id="rId15" w:history="1">
        <w:r w:rsidRPr="00C50106">
          <w:rPr>
            <w:rStyle w:val="Hyperlink"/>
            <w:rFonts w:ascii="Cambria" w:eastAsia="Batang" w:hAnsi="Cambria"/>
            <w:bCs/>
            <w:sz w:val="20"/>
            <w:szCs w:val="20"/>
          </w:rPr>
          <w:t>www.defensajuridica.gov.co</w:t>
        </w:r>
      </w:hyperlink>
      <w:r w:rsidRPr="00C50106">
        <w:rPr>
          <w:rFonts w:ascii="Cambria" w:eastAsia="Batang" w:hAnsi="Cambria"/>
          <w:bCs/>
          <w:color w:val="080808"/>
          <w:sz w:val="20"/>
          <w:szCs w:val="20"/>
        </w:rPr>
        <w:t xml:space="preserve">  </w:t>
      </w:r>
      <w:hyperlink r:id="rId16" w:history="1">
        <w:r w:rsidRPr="00C50106">
          <w:rPr>
            <w:rStyle w:val="Hyperlink"/>
            <w:rFonts w:ascii="Cambria" w:eastAsia="Batang" w:hAnsi="Cambria"/>
            <w:bCs/>
            <w:color w:val="auto"/>
            <w:sz w:val="20"/>
            <w:szCs w:val="20"/>
            <w:u w:val="none"/>
          </w:rPr>
          <w:t>and</w:t>
        </w:r>
      </w:hyperlink>
      <w:r w:rsidRPr="00C50106">
        <w:rPr>
          <w:rFonts w:ascii="Cambria" w:eastAsia="Batang" w:hAnsi="Cambria"/>
          <w:bCs/>
          <w:sz w:val="20"/>
          <w:szCs w:val="20"/>
        </w:rPr>
        <w:t xml:space="preserve"> </w:t>
      </w:r>
      <w:r w:rsidRPr="00C50106">
        <w:rPr>
          <w:rFonts w:ascii="Cambria" w:eastAsia="Batang" w:hAnsi="Cambria"/>
          <w:bCs/>
          <w:color w:val="080808"/>
          <w:sz w:val="20"/>
          <w:szCs w:val="20"/>
        </w:rPr>
        <w:t>the Ministry of National Defense.</w:t>
      </w:r>
    </w:p>
    <w:sectPr w:rsidR="003E6F57" w:rsidRPr="00C50106" w:rsidSect="00C50106">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CDC9" w14:textId="77777777" w:rsidR="00C16003" w:rsidRDefault="00C16003" w:rsidP="00A343FF">
      <w:pPr>
        <w:spacing w:after="0" w:line="240" w:lineRule="auto"/>
      </w:pPr>
      <w:r>
        <w:separator/>
      </w:r>
    </w:p>
  </w:endnote>
  <w:endnote w:type="continuationSeparator" w:id="0">
    <w:p w14:paraId="5058DBF9" w14:textId="77777777" w:rsidR="00C16003" w:rsidRDefault="00C16003"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16799C"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D360" w14:textId="77777777" w:rsidR="00C16003" w:rsidRDefault="00C16003" w:rsidP="00A343FF">
      <w:pPr>
        <w:spacing w:after="0" w:line="240" w:lineRule="auto"/>
      </w:pPr>
      <w:r>
        <w:separator/>
      </w:r>
    </w:p>
  </w:footnote>
  <w:footnote w:type="continuationSeparator" w:id="0">
    <w:p w14:paraId="7E038351" w14:textId="77777777" w:rsidR="00C16003" w:rsidRDefault="00C16003" w:rsidP="00A343FF">
      <w:pPr>
        <w:spacing w:after="0" w:line="240" w:lineRule="auto"/>
      </w:pPr>
      <w:r>
        <w:continuationSeparator/>
      </w:r>
    </w:p>
  </w:footnote>
  <w:footnote w:id="1">
    <w:p w14:paraId="5E55D9F7" w14:textId="7E6F6A56" w:rsidR="003E6F57" w:rsidRPr="007175E2" w:rsidRDefault="003E6F57" w:rsidP="007175E2">
      <w:pPr>
        <w:pStyle w:val="FootnoteText"/>
        <w:ind w:firstLine="709"/>
        <w:jc w:val="both"/>
        <w:rPr>
          <w:rFonts w:ascii="Cambria" w:hAnsi="Cambria"/>
          <w:color w:val="000000" w:themeColor="text1"/>
          <w:sz w:val="16"/>
          <w:szCs w:val="16"/>
        </w:rPr>
      </w:pPr>
      <w:r w:rsidRPr="007175E2">
        <w:rPr>
          <w:rFonts w:ascii="Cambria" w:hAnsi="Cambria"/>
          <w:color w:val="000000"/>
          <w:sz w:val="16"/>
          <w:szCs w:val="16"/>
          <w:vertAlign w:val="superscript"/>
        </w:rPr>
        <w:footnoteRef/>
      </w:r>
      <w:r w:rsidRPr="007175E2">
        <w:rPr>
          <w:rFonts w:ascii="Cambria" w:hAnsi="Cambria"/>
          <w:color w:val="000000"/>
          <w:sz w:val="16"/>
          <w:szCs w:val="16"/>
        </w:rPr>
        <w:t xml:space="preserve"> </w:t>
      </w:r>
      <w:r w:rsidR="00AB67D2" w:rsidRPr="00AB67D2">
        <w:rPr>
          <w:rFonts w:ascii="Cambria" w:hAnsi="Cambria"/>
          <w:sz w:val="16"/>
          <w:szCs w:val="16"/>
        </w:rPr>
        <w:t>IACHR, Report No. 33</w:t>
      </w:r>
      <w:r w:rsidR="00AB67D2">
        <w:rPr>
          <w:rFonts w:ascii="Cambria" w:hAnsi="Cambria"/>
          <w:sz w:val="16"/>
          <w:szCs w:val="16"/>
        </w:rPr>
        <w:t>3</w:t>
      </w:r>
      <w:r w:rsidR="00AB67D2" w:rsidRPr="00AB67D2">
        <w:rPr>
          <w:rFonts w:ascii="Cambria" w:hAnsi="Cambria"/>
          <w:sz w:val="16"/>
          <w:szCs w:val="16"/>
        </w:rPr>
        <w:t xml:space="preserve">/20, Case 13.421. Friendly Settlement. Geminiano Gil Martinez and Family, Colombia, November 19, 2020. Available at: </w:t>
      </w:r>
      <w:hyperlink r:id="rId1" w:history="1">
        <w:r w:rsidR="00AB67D2" w:rsidRPr="00AB67D2">
          <w:rPr>
            <w:rStyle w:val="Hyperlink"/>
            <w:rFonts w:ascii="Cambria" w:hAnsi="Cambria"/>
            <w:sz w:val="16"/>
            <w:szCs w:val="16"/>
          </w:rPr>
          <w:t>http://www.oas.org/en/iachr/decisions/2020/COSA13421EN.pdf</w:t>
        </w:r>
      </w:hyperlink>
      <w:r w:rsidRPr="007175E2">
        <w:rPr>
          <w:rFonts w:ascii="Cambria" w:hAnsi="Cambria"/>
          <w:color w:val="000000" w:themeColor="text1"/>
          <w:sz w:val="16"/>
          <w:szCs w:val="16"/>
        </w:rPr>
        <w:t>.</w:t>
      </w:r>
    </w:p>
  </w:footnote>
  <w:footnote w:id="2">
    <w:p w14:paraId="1E97D377" w14:textId="1C6F8C8B" w:rsidR="003E6F57" w:rsidRPr="00AB67D2" w:rsidRDefault="003E6F57" w:rsidP="00AB67D2">
      <w:pPr>
        <w:pStyle w:val="FootnoteText"/>
        <w:ind w:firstLine="720"/>
        <w:jc w:val="both"/>
        <w:rPr>
          <w:rFonts w:ascii="Cambria" w:hAnsi="Cambria"/>
          <w:sz w:val="16"/>
          <w:szCs w:val="16"/>
        </w:rPr>
      </w:pPr>
      <w:r w:rsidRPr="00AB67D2">
        <w:rPr>
          <w:rStyle w:val="FootnoteReference"/>
          <w:rFonts w:ascii="Cambria" w:hAnsi="Cambria"/>
          <w:color w:val="000000" w:themeColor="text1"/>
          <w:sz w:val="16"/>
          <w:szCs w:val="16"/>
        </w:rPr>
        <w:footnoteRef/>
      </w:r>
      <w:r w:rsidRPr="00AB67D2">
        <w:rPr>
          <w:rFonts w:ascii="Cambria" w:hAnsi="Cambria"/>
          <w:color w:val="000000" w:themeColor="text1"/>
          <w:sz w:val="16"/>
          <w:szCs w:val="16"/>
        </w:rPr>
        <w:t xml:space="preserve"> </w:t>
      </w:r>
      <w:r w:rsidR="00AB67D2" w:rsidRPr="00AB67D2">
        <w:rPr>
          <w:rFonts w:ascii="Cambria" w:hAnsi="Cambria"/>
          <w:sz w:val="16"/>
          <w:szCs w:val="16"/>
        </w:rPr>
        <w:t>IACHR, Report No. 33</w:t>
      </w:r>
      <w:r w:rsidR="00AB67D2">
        <w:rPr>
          <w:rFonts w:ascii="Cambria" w:hAnsi="Cambria"/>
          <w:sz w:val="16"/>
          <w:szCs w:val="16"/>
        </w:rPr>
        <w:t>3</w:t>
      </w:r>
      <w:r w:rsidR="00AB67D2" w:rsidRPr="00AB67D2">
        <w:rPr>
          <w:rFonts w:ascii="Cambria" w:hAnsi="Cambria"/>
          <w:sz w:val="16"/>
          <w:szCs w:val="16"/>
        </w:rPr>
        <w:t xml:space="preserve">/20, Case 13.421. Friendly Settlement. Geminiano Gil Martinez and Family, Colombia, November 19, 2020. Available at: </w:t>
      </w:r>
      <w:hyperlink r:id="rId2" w:history="1">
        <w:r w:rsidR="00AB67D2" w:rsidRPr="00AB67D2">
          <w:rPr>
            <w:rStyle w:val="Hyperlink"/>
            <w:rFonts w:ascii="Cambria" w:hAnsi="Cambria"/>
            <w:sz w:val="16"/>
            <w:szCs w:val="16"/>
          </w:rPr>
          <w:t>http://www.oas.org/en/iachr/decisions/2020/COSA13421EN.pdf</w:t>
        </w:r>
      </w:hyperlink>
      <w:r w:rsidR="006F75AC" w:rsidRPr="00AB67D2">
        <w:rPr>
          <w:rFonts w:ascii="Cambria" w:hAnsi="Cambria"/>
          <w:color w:val="000000" w:themeColor="text1"/>
          <w:sz w:val="16"/>
          <w:szCs w:val="16"/>
        </w:rPr>
        <w:t>.</w:t>
      </w:r>
    </w:p>
  </w:footnote>
  <w:footnote w:id="3">
    <w:p w14:paraId="3BB9D437" w14:textId="502538BA" w:rsidR="00AB67D2" w:rsidRPr="00AB67D2" w:rsidRDefault="00AB67D2" w:rsidP="00AB67D2">
      <w:pPr>
        <w:pStyle w:val="FootnoteText"/>
        <w:ind w:firstLine="720"/>
        <w:jc w:val="both"/>
        <w:rPr>
          <w:rFonts w:ascii="Cambria" w:hAnsi="Cambria"/>
          <w:sz w:val="16"/>
          <w:szCs w:val="16"/>
        </w:rPr>
      </w:pPr>
      <w:r w:rsidRPr="00AB67D2">
        <w:rPr>
          <w:rStyle w:val="FootnoteReference"/>
          <w:rFonts w:ascii="Cambria" w:hAnsi="Cambria"/>
          <w:sz w:val="16"/>
          <w:szCs w:val="16"/>
        </w:rPr>
        <w:footnoteRef/>
      </w:r>
      <w:r w:rsidRPr="00AB67D2">
        <w:rPr>
          <w:rFonts w:ascii="Cambria" w:hAnsi="Cambria"/>
          <w:sz w:val="16"/>
          <w:szCs w:val="16"/>
        </w:rPr>
        <w:t xml:space="preserve"> IACHR, </w:t>
      </w:r>
      <w:r w:rsidRPr="00AB67D2">
        <w:rPr>
          <w:rFonts w:ascii="Cambria" w:hAnsi="Cambria"/>
          <w:i/>
          <w:iCs/>
          <w:sz w:val="16"/>
          <w:szCs w:val="16"/>
        </w:rPr>
        <w:t>Annual Report 2022</w:t>
      </w:r>
      <w:r w:rsidRPr="00AB67D2">
        <w:rPr>
          <w:rFonts w:ascii="Cambria" w:hAnsi="Cambria"/>
          <w:sz w:val="16"/>
          <w:szCs w:val="16"/>
        </w:rPr>
        <w:t xml:space="preserve">, Chapter II, Section F. Negotiation and Implementation of Friendly Settlement Agreement. Available at </w:t>
      </w:r>
      <w:hyperlink r:id="rId3" w:history="1">
        <w:r w:rsidRPr="00AB67D2">
          <w:rPr>
            <w:rStyle w:val="Hyperlink"/>
            <w:rFonts w:ascii="Cambria" w:hAnsi="Cambria"/>
            <w:sz w:val="16"/>
            <w:szCs w:val="16"/>
          </w:rPr>
          <w:t>https://www.oas.org/en/iachr/docs/annual/2022/Chapters/4-IA2022_Cap_2_EN.pdf</w:t>
        </w:r>
      </w:hyperlink>
      <w:r>
        <w:rPr>
          <w:rFonts w:ascii="Cambria" w:hAnsi="Cambria"/>
          <w:sz w:val="16"/>
          <w:szCs w:val="16"/>
        </w:rPr>
        <w:t>.</w:t>
      </w:r>
    </w:p>
  </w:footnote>
  <w:footnote w:id="4">
    <w:p w14:paraId="332F54B7" w14:textId="1B7469F7" w:rsidR="00AB67D2" w:rsidRPr="00AB67D2" w:rsidRDefault="00AB67D2" w:rsidP="00AB67D2">
      <w:pPr>
        <w:pStyle w:val="FootnoteText"/>
        <w:ind w:firstLine="720"/>
        <w:jc w:val="both"/>
        <w:rPr>
          <w:rFonts w:ascii="Cambria" w:hAnsi="Cambria"/>
          <w:sz w:val="16"/>
          <w:szCs w:val="16"/>
        </w:rPr>
      </w:pPr>
      <w:r w:rsidRPr="00D26733">
        <w:rPr>
          <w:rStyle w:val="FootnoteReference"/>
          <w:rFonts w:ascii="Cambria" w:hAnsi="Cambria"/>
          <w:sz w:val="16"/>
          <w:szCs w:val="16"/>
        </w:rPr>
        <w:footnoteRef/>
      </w:r>
      <w:r w:rsidRPr="00D26733">
        <w:rPr>
          <w:rFonts w:ascii="Cambria" w:hAnsi="Cambria"/>
          <w:sz w:val="16"/>
          <w:szCs w:val="16"/>
        </w:rPr>
        <w:t xml:space="preserve"> IACHR, </w:t>
      </w:r>
      <w:r w:rsidRPr="00D26733">
        <w:rPr>
          <w:rFonts w:ascii="Cambria" w:hAnsi="Cambria"/>
          <w:i/>
          <w:iCs/>
          <w:sz w:val="16"/>
          <w:szCs w:val="16"/>
        </w:rPr>
        <w:t>Annual Report 2023</w:t>
      </w:r>
      <w:r w:rsidRPr="00D26733">
        <w:rPr>
          <w:rFonts w:ascii="Cambria" w:hAnsi="Cambria"/>
          <w:sz w:val="16"/>
          <w:szCs w:val="16"/>
        </w:rPr>
        <w:t xml:space="preserve">, Chapter II, Section </w:t>
      </w:r>
      <w:r w:rsidR="00592FF9" w:rsidRPr="00D26733">
        <w:rPr>
          <w:rFonts w:ascii="Cambria" w:hAnsi="Cambria"/>
          <w:sz w:val="16"/>
          <w:szCs w:val="16"/>
        </w:rPr>
        <w:t>C</w:t>
      </w:r>
      <w:r w:rsidRPr="00D26733">
        <w:rPr>
          <w:rFonts w:ascii="Cambria" w:hAnsi="Cambria"/>
          <w:sz w:val="16"/>
          <w:szCs w:val="16"/>
        </w:rPr>
        <w:t xml:space="preserve">. </w:t>
      </w:r>
      <w:r w:rsidR="001204C0" w:rsidRPr="00D26733">
        <w:rPr>
          <w:rFonts w:ascii="Cambria" w:hAnsi="Cambria"/>
          <w:sz w:val="16"/>
          <w:szCs w:val="16"/>
        </w:rPr>
        <w:t>Advances and challenges on n</w:t>
      </w:r>
      <w:r w:rsidRPr="00D26733">
        <w:rPr>
          <w:rFonts w:ascii="Cambria" w:hAnsi="Cambria"/>
          <w:sz w:val="16"/>
          <w:szCs w:val="16"/>
        </w:rPr>
        <w:t xml:space="preserve">egotiation and </w:t>
      </w:r>
      <w:r w:rsidR="001204C0" w:rsidRPr="00D26733">
        <w:rPr>
          <w:rFonts w:ascii="Cambria" w:hAnsi="Cambria"/>
          <w:sz w:val="16"/>
          <w:szCs w:val="16"/>
        </w:rPr>
        <w:t>i</w:t>
      </w:r>
      <w:r w:rsidRPr="00D26733">
        <w:rPr>
          <w:rFonts w:ascii="Cambria" w:hAnsi="Cambria"/>
          <w:sz w:val="16"/>
          <w:szCs w:val="16"/>
        </w:rPr>
        <w:t xml:space="preserve">mplementation of </w:t>
      </w:r>
      <w:r w:rsidR="001204C0" w:rsidRPr="00D26733">
        <w:rPr>
          <w:rFonts w:ascii="Cambria" w:hAnsi="Cambria"/>
          <w:sz w:val="16"/>
          <w:szCs w:val="16"/>
        </w:rPr>
        <w:t>f</w:t>
      </w:r>
      <w:r w:rsidRPr="00D26733">
        <w:rPr>
          <w:rFonts w:ascii="Cambria" w:hAnsi="Cambria"/>
          <w:sz w:val="16"/>
          <w:szCs w:val="16"/>
        </w:rPr>
        <w:t xml:space="preserve">riendly </w:t>
      </w:r>
      <w:r w:rsidR="00A33566" w:rsidRPr="00D26733">
        <w:rPr>
          <w:rFonts w:ascii="Cambria" w:hAnsi="Cambria"/>
          <w:sz w:val="16"/>
          <w:szCs w:val="16"/>
        </w:rPr>
        <w:t>s</w:t>
      </w:r>
      <w:r w:rsidRPr="00D26733">
        <w:rPr>
          <w:rFonts w:ascii="Cambria" w:hAnsi="Cambria"/>
          <w:sz w:val="16"/>
          <w:szCs w:val="16"/>
        </w:rPr>
        <w:t xml:space="preserve">ettlement </w:t>
      </w:r>
      <w:r w:rsidR="00A33566" w:rsidRPr="00D26733">
        <w:rPr>
          <w:rFonts w:ascii="Cambria" w:hAnsi="Cambria"/>
          <w:sz w:val="16"/>
          <w:szCs w:val="16"/>
        </w:rPr>
        <w:t>a</w:t>
      </w:r>
      <w:r w:rsidRPr="00D26733">
        <w:rPr>
          <w:rFonts w:ascii="Cambria" w:hAnsi="Cambria"/>
          <w:sz w:val="16"/>
          <w:szCs w:val="16"/>
        </w:rPr>
        <w:t xml:space="preserve">greement. Available at </w:t>
      </w:r>
      <w:hyperlink r:id="rId4" w:history="1">
        <w:r w:rsidR="00BB5A58" w:rsidRPr="00D26733">
          <w:rPr>
            <w:rStyle w:val="Hyperlink"/>
            <w:rFonts w:ascii="Cambria" w:hAnsi="Cambria"/>
            <w:sz w:val="16"/>
            <w:szCs w:val="16"/>
          </w:rPr>
          <w:t>https://www.oas.org/en/iachr/docs/annual/2023/chapters/IA2023_Cap_2_ENG.PDF</w:t>
        </w:r>
      </w:hyperlink>
      <w:r w:rsidR="00BB5A58">
        <w:rPr>
          <w:rFonts w:ascii="Cambria" w:hAnsi="Cambria"/>
          <w:color w:val="FF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16799C">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16799C"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8"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8"/>
  </w:num>
  <w:num w:numId="3" w16cid:durableId="897327684">
    <w:abstractNumId w:val="18"/>
  </w:num>
  <w:num w:numId="4" w16cid:durableId="1141650489">
    <w:abstractNumId w:val="27"/>
  </w:num>
  <w:num w:numId="5" w16cid:durableId="746342540">
    <w:abstractNumId w:val="13"/>
  </w:num>
  <w:num w:numId="6" w16cid:durableId="1621692518">
    <w:abstractNumId w:val="6"/>
  </w:num>
  <w:num w:numId="7" w16cid:durableId="971790784">
    <w:abstractNumId w:val="1"/>
  </w:num>
  <w:num w:numId="8" w16cid:durableId="1387029646">
    <w:abstractNumId w:val="34"/>
  </w:num>
  <w:num w:numId="9" w16cid:durableId="1086881292">
    <w:abstractNumId w:val="7"/>
  </w:num>
  <w:num w:numId="10" w16cid:durableId="1292322756">
    <w:abstractNumId w:val="12"/>
  </w:num>
  <w:num w:numId="11" w16cid:durableId="1000500350">
    <w:abstractNumId w:val="2"/>
  </w:num>
  <w:num w:numId="12" w16cid:durableId="1706103099">
    <w:abstractNumId w:val="33"/>
  </w:num>
  <w:num w:numId="13" w16cid:durableId="1756710271">
    <w:abstractNumId w:val="20"/>
  </w:num>
  <w:num w:numId="14" w16cid:durableId="1099252676">
    <w:abstractNumId w:val="37"/>
  </w:num>
  <w:num w:numId="15" w16cid:durableId="1030109151">
    <w:abstractNumId w:val="16"/>
  </w:num>
  <w:num w:numId="16" w16cid:durableId="1722748191">
    <w:abstractNumId w:val="15"/>
  </w:num>
  <w:num w:numId="17" w16cid:durableId="351491452">
    <w:abstractNumId w:val="26"/>
  </w:num>
  <w:num w:numId="18" w16cid:durableId="1027633537">
    <w:abstractNumId w:val="9"/>
  </w:num>
  <w:num w:numId="19" w16cid:durableId="457845413">
    <w:abstractNumId w:val="25"/>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19"/>
  </w:num>
  <w:num w:numId="22" w16cid:durableId="2003926928">
    <w:abstractNumId w:val="10"/>
  </w:num>
  <w:num w:numId="23" w16cid:durableId="1497725357">
    <w:abstractNumId w:val="21"/>
  </w:num>
  <w:num w:numId="24" w16cid:durableId="307248652">
    <w:abstractNumId w:val="23"/>
  </w:num>
  <w:num w:numId="25" w16cid:durableId="1985550389">
    <w:abstractNumId w:val="5"/>
  </w:num>
  <w:num w:numId="26" w16cid:durableId="1478456909">
    <w:abstractNumId w:val="8"/>
  </w:num>
  <w:num w:numId="27" w16cid:durableId="1176925587">
    <w:abstractNumId w:val="3"/>
  </w:num>
  <w:num w:numId="28" w16cid:durableId="1876766616">
    <w:abstractNumId w:val="35"/>
  </w:num>
  <w:num w:numId="29" w16cid:durableId="2142572164">
    <w:abstractNumId w:val="32"/>
  </w:num>
  <w:num w:numId="30" w16cid:durableId="571933528">
    <w:abstractNumId w:val="30"/>
  </w:num>
  <w:num w:numId="31" w16cid:durableId="1861430946">
    <w:abstractNumId w:val="14"/>
  </w:num>
  <w:num w:numId="32" w16cid:durableId="803893092">
    <w:abstractNumId w:val="17"/>
  </w:num>
  <w:num w:numId="33" w16cid:durableId="1739936026">
    <w:abstractNumId w:val="4"/>
  </w:num>
  <w:num w:numId="34" w16cid:durableId="1458915668">
    <w:abstractNumId w:val="29"/>
  </w:num>
  <w:num w:numId="35" w16cid:durableId="1599485303">
    <w:abstractNumId w:val="38"/>
  </w:num>
  <w:num w:numId="36" w16cid:durableId="1664964272">
    <w:abstractNumId w:val="36"/>
  </w:num>
  <w:num w:numId="37" w16cid:durableId="2074966919">
    <w:abstractNumId w:val="31"/>
  </w:num>
  <w:num w:numId="38" w16cid:durableId="20934263">
    <w:abstractNumId w:val="22"/>
  </w:num>
  <w:num w:numId="39" w16cid:durableId="195656616">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0D6F2C"/>
    <w:rsid w:val="001010C1"/>
    <w:rsid w:val="001011E0"/>
    <w:rsid w:val="00101E3E"/>
    <w:rsid w:val="00112395"/>
    <w:rsid w:val="001204C0"/>
    <w:rsid w:val="0012326D"/>
    <w:rsid w:val="0012586C"/>
    <w:rsid w:val="00127F17"/>
    <w:rsid w:val="001511FD"/>
    <w:rsid w:val="001541D4"/>
    <w:rsid w:val="00162518"/>
    <w:rsid w:val="0016799C"/>
    <w:rsid w:val="001834F6"/>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40CD"/>
    <w:rsid w:val="002E4FBC"/>
    <w:rsid w:val="002F156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402700"/>
    <w:rsid w:val="00417964"/>
    <w:rsid w:val="00420BB1"/>
    <w:rsid w:val="004276FB"/>
    <w:rsid w:val="0043583A"/>
    <w:rsid w:val="004545D1"/>
    <w:rsid w:val="00457BAB"/>
    <w:rsid w:val="00462B02"/>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2FF9"/>
    <w:rsid w:val="00594A1B"/>
    <w:rsid w:val="005A328E"/>
    <w:rsid w:val="005A49FD"/>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0A5B"/>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3566"/>
    <w:rsid w:val="00A343FF"/>
    <w:rsid w:val="00A61B5E"/>
    <w:rsid w:val="00A678C3"/>
    <w:rsid w:val="00A70B4A"/>
    <w:rsid w:val="00A76705"/>
    <w:rsid w:val="00A7781B"/>
    <w:rsid w:val="00A860C7"/>
    <w:rsid w:val="00AA164D"/>
    <w:rsid w:val="00AB0F8C"/>
    <w:rsid w:val="00AB253B"/>
    <w:rsid w:val="00AB67D2"/>
    <w:rsid w:val="00AC2C8E"/>
    <w:rsid w:val="00AE1B0F"/>
    <w:rsid w:val="00AE4A64"/>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B5A58"/>
    <w:rsid w:val="00BC3854"/>
    <w:rsid w:val="00C03B37"/>
    <w:rsid w:val="00C16003"/>
    <w:rsid w:val="00C17E67"/>
    <w:rsid w:val="00C17F04"/>
    <w:rsid w:val="00C30658"/>
    <w:rsid w:val="00C3260E"/>
    <w:rsid w:val="00C3445F"/>
    <w:rsid w:val="00C402CB"/>
    <w:rsid w:val="00C50106"/>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26733"/>
    <w:rsid w:val="00D735C2"/>
    <w:rsid w:val="00D76EDC"/>
    <w:rsid w:val="00D91EBA"/>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668E1"/>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A1293"/>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17/COAD1617-07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0/COSA13421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fensajuridica.gov.c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efensajuridica.gov.co"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s.org/en/iachr/decisions/2020/COSA13421E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2/Chapters/4-IA2022_Cap_2_EN.pdf" TargetMode="External"/><Relationship Id="rId2" Type="http://schemas.openxmlformats.org/officeDocument/2006/relationships/hyperlink" Target="http://www.oas.org/en/iachr/decisions/2020/COSA13421EN.pdf" TargetMode="External"/><Relationship Id="rId1" Type="http://schemas.openxmlformats.org/officeDocument/2006/relationships/hyperlink" Target="http://www.oas.org/en/iachr/decisions/2020/COSA13421EN.pdf" TargetMode="External"/><Relationship Id="rId4" Type="http://schemas.openxmlformats.org/officeDocument/2006/relationships/hyperlink" Target="https://www.oas.org/en/iachr/docs/annual/2023/chapters/IA2023_Cap_2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4.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